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2"/>
        <w:keepNext w:val="0"/>
        <w:keepLines w:val="0"/>
        <w:spacing w:after="80"/>
      </w:pPr>
    </w:p>
    <w:p>
      <w:pPr>
        <w:pStyle w:val="Heading 2"/>
        <w:keepNext w:val="0"/>
        <w:keepLines w:val="0"/>
        <w:spacing w:after="80"/>
        <w:rPr>
          <w:rStyle w:val="None"/>
          <w:b w:val="1"/>
          <w:bCs w:val="1"/>
          <w:sz w:val="20"/>
          <w:szCs w:val="20"/>
        </w:rPr>
      </w:pPr>
      <w:bookmarkStart w:name="_fug0vrocx3l" w:id="0"/>
      <w:bookmarkEnd w:id="0"/>
      <w:r>
        <w:rPr>
          <w:rStyle w:val="None"/>
          <w:b w:val="1"/>
          <w:bCs w:val="1"/>
          <w:sz w:val="20"/>
          <w:szCs w:val="20"/>
          <w:rtl w:val="0"/>
        </w:rPr>
        <w:t>P</w:t>
      </w:r>
      <w:r>
        <w:rPr>
          <w:rStyle w:val="None"/>
          <w:b w:val="1"/>
          <w:bCs w:val="1"/>
          <w:sz w:val="20"/>
          <w:szCs w:val="20"/>
          <w:rtl w:val="0"/>
          <w:lang w:val="en-US"/>
        </w:rPr>
        <w:t>ROFESSIONAL SUMMARY</w:t>
      </w:r>
    </w:p>
    <w:p>
      <w:pPr>
        <w:pStyle w:val="Body"/>
        <w:spacing w:before="240" w:after="240"/>
        <w:rPr>
          <w:rStyle w:val="None"/>
          <w:sz w:val="20"/>
          <w:szCs w:val="20"/>
        </w:rPr>
      </w:pPr>
      <w:r>
        <w:rPr>
          <w:rStyle w:val="None"/>
          <w:sz w:val="20"/>
          <w:szCs w:val="20"/>
          <w:rtl w:val="0"/>
          <w:lang w:val="en-US"/>
        </w:rPr>
        <w:t>Tax professional with extensive experience providing tax consulting, compliance, research, and business advisory services to individuals, partnerships, S-Corporations, C-Corporations, estates, trusts, nonprofits, and high-net-worth clients. Strong background in tax planning, financial analysis, operational consulting, and client relationship management gained through Big Four firms, regional CPA firms, and independent consulting engagements. Experienced leveraging AI technologies including ChatGPT, Claude, and Intuit Internal AI to research complex tax issues, improve workflow efficiency, and enhance client service. Advanced experience with CCH Tax (Individual &amp; Business), Lacerte, SurePrep, ProConnect, and UltraTax.</w:t>
      </w:r>
    </w:p>
    <w:p>
      <w:pPr>
        <w:pStyle w:val="Heading 2"/>
        <w:keepNext w:val="0"/>
        <w:keepLines w:val="0"/>
        <w:spacing w:after="80"/>
        <w:rPr>
          <w:rStyle w:val="None"/>
          <w:b w:val="1"/>
          <w:bCs w:val="1"/>
          <w:sz w:val="20"/>
          <w:szCs w:val="20"/>
        </w:rPr>
      </w:pPr>
      <w:bookmarkStart w:name="_ju3rxu2olgu5" w:id="1"/>
      <w:bookmarkEnd w:id="1"/>
      <w:r>
        <w:rPr>
          <w:rStyle w:val="None"/>
          <w:b w:val="1"/>
          <w:bCs w:val="1"/>
          <w:sz w:val="20"/>
          <w:szCs w:val="20"/>
          <w:rtl w:val="0"/>
        </w:rPr>
        <w:t>C</w:t>
      </w:r>
      <w:r>
        <w:rPr>
          <w:rStyle w:val="None"/>
          <w:b w:val="1"/>
          <w:bCs w:val="1"/>
          <w:sz w:val="20"/>
          <w:szCs w:val="20"/>
          <w:rtl w:val="0"/>
          <w:lang w:val="de-DE"/>
        </w:rPr>
        <w:t>ORE COMPETENCIES</w:t>
      </w:r>
    </w:p>
    <w:p>
      <w:pPr>
        <w:pStyle w:val="Body"/>
        <w:spacing w:before="240" w:after="240"/>
        <w:rPr>
          <w:rStyle w:val="None"/>
          <w:sz w:val="20"/>
          <w:szCs w:val="20"/>
        </w:rPr>
      </w:pPr>
      <w:r>
        <w:rPr>
          <w:rStyle w:val="None"/>
          <w:sz w:val="20"/>
          <w:szCs w:val="20"/>
          <w:rtl w:val="0"/>
          <w:lang w:val="en-US"/>
        </w:rPr>
        <w:t xml:space="preserve">Tax Research &amp; Planning </w:t>
      </w:r>
      <w:r>
        <w:rPr>
          <w:rStyle w:val="None"/>
          <w:sz w:val="20"/>
          <w:szCs w:val="20"/>
          <w:rtl w:val="0"/>
        </w:rPr>
        <w:t xml:space="preserve">• </w:t>
      </w:r>
      <w:r>
        <w:rPr>
          <w:rStyle w:val="None"/>
          <w:sz w:val="20"/>
          <w:szCs w:val="20"/>
          <w:rtl w:val="0"/>
          <w:lang w:val="en-US"/>
        </w:rPr>
        <w:t xml:space="preserve">Individual, Partnership &amp; Corporate Taxation </w:t>
      </w:r>
      <w:r>
        <w:rPr>
          <w:rStyle w:val="None"/>
          <w:sz w:val="20"/>
          <w:szCs w:val="20"/>
          <w:rtl w:val="0"/>
        </w:rPr>
        <w:t xml:space="preserve">• </w:t>
      </w:r>
      <w:r>
        <w:rPr>
          <w:rStyle w:val="None"/>
          <w:sz w:val="20"/>
          <w:szCs w:val="20"/>
          <w:rtl w:val="0"/>
          <w:lang w:val="en-US"/>
        </w:rPr>
        <w:t xml:space="preserve">High-Net-Worth Tax </w:t>
      </w:r>
      <w:r>
        <w:rPr>
          <w:rStyle w:val="None"/>
          <w:sz w:val="20"/>
          <w:szCs w:val="20"/>
          <w:rtl w:val="0"/>
        </w:rPr>
        <w:t xml:space="preserve">• </w:t>
      </w:r>
      <w:r>
        <w:rPr>
          <w:rStyle w:val="None"/>
          <w:sz w:val="20"/>
          <w:szCs w:val="20"/>
          <w:rtl w:val="0"/>
          <w:lang w:val="en-US"/>
        </w:rPr>
        <w:t xml:space="preserve">Estate &amp; Trust Tax </w:t>
      </w:r>
      <w:r>
        <w:rPr>
          <w:rStyle w:val="None"/>
          <w:sz w:val="20"/>
          <w:szCs w:val="20"/>
          <w:rtl w:val="0"/>
        </w:rPr>
        <w:t xml:space="preserve">• </w:t>
      </w:r>
      <w:r>
        <w:rPr>
          <w:rStyle w:val="None"/>
          <w:sz w:val="20"/>
          <w:szCs w:val="20"/>
          <w:rtl w:val="0"/>
          <w:lang w:val="en-US"/>
        </w:rPr>
        <w:t xml:space="preserve">Tax Compliance </w:t>
      </w:r>
      <w:r>
        <w:rPr>
          <w:rStyle w:val="None"/>
          <w:sz w:val="20"/>
          <w:szCs w:val="20"/>
          <w:rtl w:val="0"/>
        </w:rPr>
        <w:t xml:space="preserve">• </w:t>
      </w:r>
      <w:r>
        <w:rPr>
          <w:rStyle w:val="None"/>
          <w:sz w:val="20"/>
          <w:szCs w:val="20"/>
          <w:rtl w:val="0"/>
          <w:lang w:val="en-US"/>
        </w:rPr>
        <w:t xml:space="preserve">Business Advisory </w:t>
      </w:r>
      <w:r>
        <w:rPr>
          <w:rStyle w:val="None"/>
          <w:sz w:val="20"/>
          <w:szCs w:val="20"/>
          <w:rtl w:val="0"/>
        </w:rPr>
        <w:t xml:space="preserve">• </w:t>
      </w:r>
      <w:r>
        <w:rPr>
          <w:rStyle w:val="None"/>
          <w:sz w:val="20"/>
          <w:szCs w:val="20"/>
          <w:rtl w:val="0"/>
          <w:lang w:val="en-US"/>
        </w:rPr>
        <w:t xml:space="preserve">Financial Analysis </w:t>
      </w:r>
      <w:r>
        <w:rPr>
          <w:rStyle w:val="None"/>
          <w:sz w:val="20"/>
          <w:szCs w:val="20"/>
          <w:rtl w:val="0"/>
        </w:rPr>
        <w:t xml:space="preserve">• </w:t>
      </w:r>
      <w:r>
        <w:rPr>
          <w:rStyle w:val="None"/>
          <w:sz w:val="20"/>
          <w:szCs w:val="20"/>
          <w:rtl w:val="0"/>
        </w:rPr>
        <w:t xml:space="preserve">Tax Technology </w:t>
      </w:r>
      <w:r>
        <w:rPr>
          <w:rStyle w:val="None"/>
          <w:sz w:val="20"/>
          <w:szCs w:val="20"/>
          <w:rtl w:val="0"/>
        </w:rPr>
        <w:t xml:space="preserve">• </w:t>
      </w:r>
      <w:r>
        <w:rPr>
          <w:rStyle w:val="None"/>
          <w:sz w:val="20"/>
          <w:szCs w:val="20"/>
          <w:rtl w:val="0"/>
          <w:lang w:val="en-US"/>
        </w:rPr>
        <w:t xml:space="preserve">AI-Assisted Research </w:t>
      </w:r>
      <w:r>
        <w:rPr>
          <w:rStyle w:val="None"/>
          <w:sz w:val="20"/>
          <w:szCs w:val="20"/>
          <w:rtl w:val="0"/>
        </w:rPr>
        <w:t xml:space="preserve">• </w:t>
      </w:r>
      <w:r>
        <w:rPr>
          <w:rStyle w:val="None"/>
          <w:sz w:val="20"/>
          <w:szCs w:val="20"/>
          <w:rtl w:val="0"/>
          <w:lang w:val="en-US"/>
        </w:rPr>
        <w:t xml:space="preserve">CCH Tax (Individual &amp; Business) </w:t>
      </w:r>
      <w:r>
        <w:rPr>
          <w:rStyle w:val="None"/>
          <w:sz w:val="20"/>
          <w:szCs w:val="20"/>
          <w:rtl w:val="0"/>
        </w:rPr>
        <w:t xml:space="preserve">• </w:t>
      </w:r>
      <w:r>
        <w:rPr>
          <w:rStyle w:val="None"/>
          <w:sz w:val="20"/>
          <w:szCs w:val="20"/>
          <w:rtl w:val="0"/>
          <w:lang w:val="es-ES_tradnl"/>
        </w:rPr>
        <w:t xml:space="preserve">Lacerte </w:t>
      </w:r>
      <w:r>
        <w:rPr>
          <w:rStyle w:val="None"/>
          <w:sz w:val="20"/>
          <w:szCs w:val="20"/>
          <w:rtl w:val="0"/>
        </w:rPr>
        <w:t xml:space="preserve">• </w:t>
      </w:r>
      <w:r>
        <w:rPr>
          <w:rStyle w:val="None"/>
          <w:sz w:val="20"/>
          <w:szCs w:val="20"/>
          <w:rtl w:val="0"/>
          <w:lang w:val="en-US"/>
        </w:rPr>
        <w:t xml:space="preserve">SurePrep </w:t>
      </w:r>
      <w:r>
        <w:rPr>
          <w:rStyle w:val="None"/>
          <w:sz w:val="20"/>
          <w:szCs w:val="20"/>
          <w:rtl w:val="0"/>
        </w:rPr>
        <w:t xml:space="preserve">• </w:t>
      </w:r>
      <w:r>
        <w:rPr>
          <w:rStyle w:val="None"/>
          <w:sz w:val="20"/>
          <w:szCs w:val="20"/>
          <w:rtl w:val="0"/>
          <w:lang w:val="en-US"/>
        </w:rPr>
        <w:t xml:space="preserve">ProConnect </w:t>
      </w:r>
      <w:r>
        <w:rPr>
          <w:rStyle w:val="None"/>
          <w:sz w:val="20"/>
          <w:szCs w:val="20"/>
          <w:rtl w:val="0"/>
        </w:rPr>
        <w:t xml:space="preserve">• </w:t>
      </w:r>
      <w:r>
        <w:rPr>
          <w:rStyle w:val="None"/>
          <w:sz w:val="20"/>
          <w:szCs w:val="20"/>
          <w:rtl w:val="0"/>
          <w:lang w:val="it-IT"/>
        </w:rPr>
        <w:t xml:space="preserve">UltraTax </w:t>
      </w:r>
      <w:r>
        <w:rPr>
          <w:rStyle w:val="None"/>
          <w:sz w:val="20"/>
          <w:szCs w:val="20"/>
          <w:rtl w:val="0"/>
        </w:rPr>
        <w:t xml:space="preserve">• </w:t>
      </w:r>
      <w:r>
        <w:rPr>
          <w:rStyle w:val="None"/>
          <w:sz w:val="20"/>
          <w:szCs w:val="20"/>
          <w:rtl w:val="0"/>
        </w:rPr>
        <w:t xml:space="preserve">ChatGPT </w:t>
      </w:r>
      <w:r>
        <w:rPr>
          <w:rStyle w:val="None"/>
          <w:sz w:val="20"/>
          <w:szCs w:val="20"/>
          <w:rtl w:val="0"/>
        </w:rPr>
        <w:t xml:space="preserve">• </w:t>
      </w:r>
      <w:r>
        <w:rPr>
          <w:rStyle w:val="None"/>
          <w:sz w:val="20"/>
          <w:szCs w:val="20"/>
          <w:rtl w:val="0"/>
          <w:lang w:val="fr-FR"/>
        </w:rPr>
        <w:t xml:space="preserve">Claude </w:t>
      </w:r>
      <w:r>
        <w:rPr>
          <w:rStyle w:val="None"/>
          <w:sz w:val="20"/>
          <w:szCs w:val="20"/>
          <w:rtl w:val="0"/>
        </w:rPr>
        <w:t xml:space="preserve">• </w:t>
      </w:r>
      <w:r>
        <w:rPr>
          <w:rStyle w:val="None"/>
          <w:sz w:val="20"/>
          <w:szCs w:val="20"/>
          <w:rtl w:val="0"/>
          <w:lang w:val="nl-NL"/>
        </w:rPr>
        <w:t xml:space="preserve">Intuit Internal AI </w:t>
      </w:r>
      <w:r>
        <w:rPr>
          <w:rStyle w:val="None"/>
          <w:sz w:val="20"/>
          <w:szCs w:val="20"/>
          <w:rtl w:val="0"/>
        </w:rPr>
        <w:t xml:space="preserve">• </w:t>
      </w:r>
      <w:r>
        <w:rPr>
          <w:rStyle w:val="None"/>
          <w:sz w:val="20"/>
          <w:szCs w:val="20"/>
          <w:rtl w:val="0"/>
          <w:lang w:val="it-IT"/>
        </w:rPr>
        <w:t>Microsoft Office</w:t>
      </w:r>
    </w:p>
    <w:p>
      <w:pPr>
        <w:pStyle w:val="Heading 2"/>
        <w:keepNext w:val="0"/>
        <w:keepLines w:val="0"/>
        <w:spacing w:after="80"/>
        <w:rPr>
          <w:rStyle w:val="None"/>
          <w:b w:val="1"/>
          <w:bCs w:val="1"/>
          <w:sz w:val="20"/>
          <w:szCs w:val="20"/>
        </w:rPr>
      </w:pPr>
      <w:bookmarkStart w:name="_qjjxqa06woo" w:id="2"/>
      <w:bookmarkEnd w:id="2"/>
      <w:r>
        <w:rPr>
          <w:rStyle w:val="None"/>
          <w:b w:val="1"/>
          <w:bCs w:val="1"/>
          <w:sz w:val="20"/>
          <w:szCs w:val="20"/>
          <w:rtl w:val="0"/>
        </w:rPr>
        <w:t>C</w:t>
      </w:r>
      <w:r>
        <w:rPr>
          <w:rStyle w:val="None"/>
          <w:b w:val="1"/>
          <w:bCs w:val="1"/>
          <w:sz w:val="20"/>
          <w:szCs w:val="20"/>
          <w:rtl w:val="0"/>
          <w:lang w:val="de-DE"/>
        </w:rPr>
        <w:t>ONSULTING EXPERIENCE</w:t>
      </w:r>
    </w:p>
    <w:p>
      <w:pPr>
        <w:pStyle w:val="Body"/>
        <w:spacing w:before="240" w:after="240"/>
        <w:rPr>
          <w:rStyle w:val="None"/>
          <w:i w:val="1"/>
          <w:iCs w:val="1"/>
          <w:sz w:val="20"/>
          <w:szCs w:val="20"/>
        </w:rPr>
      </w:pPr>
      <w:r>
        <w:rPr>
          <w:rStyle w:val="None"/>
          <w:b w:val="1"/>
          <w:bCs w:val="1"/>
          <w:sz w:val="20"/>
          <w:szCs w:val="20"/>
          <w:rtl w:val="0"/>
          <w:lang w:val="en-US"/>
        </w:rPr>
        <w:t>BUSINESS PROCESS ADVISORY, New York, NY</w:t>
      </w:r>
      <w:r>
        <w:rPr>
          <w:rStyle w:val="None"/>
          <w:sz w:val="20"/>
          <w:szCs w:val="20"/>
          <w:rtl w:val="0"/>
        </w:rPr>
        <w:t xml:space="preserve"> </w:t>
      </w:r>
      <w:r>
        <w:rPr>
          <w:rStyle w:val="None"/>
          <w:b w:val="1"/>
          <w:bCs w:val="1"/>
          <w:sz w:val="20"/>
          <w:szCs w:val="20"/>
          <w:rtl w:val="0"/>
          <w:lang w:val="en-US"/>
        </w:rPr>
        <w:t xml:space="preserve">January 2008 </w:t>
      </w:r>
      <w:r>
        <w:rPr>
          <w:rStyle w:val="None"/>
          <w:b w:val="1"/>
          <w:bCs w:val="1"/>
          <w:sz w:val="20"/>
          <w:szCs w:val="20"/>
          <w:rtl w:val="0"/>
        </w:rPr>
        <w:t xml:space="preserve">– </w:t>
      </w:r>
      <w:r>
        <w:rPr>
          <w:rStyle w:val="None"/>
          <w:b w:val="1"/>
          <w:bCs w:val="1"/>
          <w:sz w:val="20"/>
          <w:szCs w:val="20"/>
          <w:rtl w:val="0"/>
          <w:lang w:val="it-IT"/>
        </w:rPr>
        <w:t>Present</w:t>
      </w:r>
      <w:r>
        <w:rPr>
          <w:rStyle w:val="None"/>
          <w:b w:val="1"/>
          <w:bCs w:val="1"/>
          <w:sz w:val="20"/>
          <w:szCs w:val="20"/>
        </w:rPr>
        <w:br w:type="textWrapping"/>
      </w:r>
      <w:r>
        <w:rPr>
          <w:rStyle w:val="None"/>
          <w:i w:val="1"/>
          <w:iCs w:val="1"/>
          <w:sz w:val="20"/>
          <w:szCs w:val="20"/>
          <w:rtl w:val="0"/>
          <w:lang w:val="en-US"/>
        </w:rPr>
        <w:t>Tax Consultant</w:t>
      </w:r>
    </w:p>
    <w:p>
      <w:pPr>
        <w:pStyle w:val="Body"/>
        <w:spacing w:before="240" w:after="240"/>
        <w:rPr>
          <w:rStyle w:val="None"/>
          <w:b w:val="1"/>
          <w:bCs w:val="1"/>
          <w:sz w:val="20"/>
          <w:szCs w:val="20"/>
        </w:rPr>
      </w:pPr>
      <w:r>
        <w:rPr>
          <w:rStyle w:val="None"/>
          <w:sz w:val="20"/>
          <w:szCs w:val="20"/>
          <w:rtl w:val="0"/>
          <w:lang w:val="en-US"/>
        </w:rPr>
        <w:t>Work independently and in conjunction with accounting, public, and private firms in a consultative capacity supporting tax, accounting, audit, financial analysis, and business advisory engagements. Ensure client objectives are met through proactive planning, technical research, operational analysis, and practical business solutions. Audit transaction history, financial records, management controls, and tax information while reviewing business standards and operating procedures to improve efficiency and compliance. Prepare business, sales and use, corporate, and individual tax filings while providing ongoing advisory services to business owners</w:t>
      </w:r>
    </w:p>
    <w:p>
      <w:pPr>
        <w:pStyle w:val="Body"/>
        <w:spacing w:before="240" w:after="240"/>
        <w:rPr>
          <w:rStyle w:val="None"/>
          <w:b w:val="1"/>
          <w:bCs w:val="1"/>
          <w:sz w:val="20"/>
          <w:szCs w:val="20"/>
        </w:rPr>
      </w:pPr>
      <w:r>
        <w:rPr>
          <w:rStyle w:val="None"/>
          <w:b w:val="1"/>
          <w:bCs w:val="1"/>
          <w:sz w:val="20"/>
          <w:szCs w:val="20"/>
          <w:rtl w:val="0"/>
        </w:rPr>
        <w:t xml:space="preserve">Intuit </w:t>
      </w:r>
      <w:r>
        <w:rPr>
          <w:rStyle w:val="None"/>
          <w:b w:val="1"/>
          <w:bCs w:val="1"/>
          <w:sz w:val="20"/>
          <w:szCs w:val="20"/>
          <w:rtl w:val="0"/>
        </w:rPr>
        <w:t xml:space="preserve">– </w:t>
      </w:r>
      <w:r>
        <w:rPr>
          <w:rStyle w:val="None"/>
          <w:b w:val="1"/>
          <w:bCs w:val="1"/>
          <w:sz w:val="20"/>
          <w:szCs w:val="20"/>
          <w:rtl w:val="0"/>
          <w:lang w:val="en-US"/>
        </w:rPr>
        <w:t>Business / JDA / TaxFyle</w:t>
      </w:r>
    </w:p>
    <w:p>
      <w:pPr>
        <w:pStyle w:val="Body"/>
        <w:numPr>
          <w:ilvl w:val="0"/>
          <w:numId w:val="2"/>
        </w:numPr>
        <w:bidi w:val="0"/>
        <w:spacing w:before="240"/>
        <w:ind w:right="0"/>
        <w:jc w:val="left"/>
        <w:rPr>
          <w:sz w:val="20"/>
          <w:szCs w:val="20"/>
          <w:rtl w:val="0"/>
          <w:lang w:val="en-US"/>
        </w:rPr>
      </w:pPr>
      <w:r>
        <w:rPr>
          <w:rStyle w:val="None"/>
          <w:sz w:val="20"/>
          <w:szCs w:val="20"/>
          <w:rtl w:val="0"/>
          <w:lang w:val="en-US"/>
        </w:rPr>
        <w:t>Research, review, and advise clients on Individual, Partnership, C-Corporation, S-Corporation, Estate, Trust, Gift, Non-Profit, and High-Net-Worth tax matters.</w:t>
      </w:r>
    </w:p>
    <w:p>
      <w:pPr>
        <w:pStyle w:val="Body"/>
        <w:numPr>
          <w:ilvl w:val="0"/>
          <w:numId w:val="2"/>
        </w:numPr>
        <w:bidi w:val="0"/>
        <w:ind w:right="0"/>
        <w:jc w:val="left"/>
        <w:rPr>
          <w:sz w:val="20"/>
          <w:szCs w:val="20"/>
          <w:rtl w:val="0"/>
          <w:lang w:val="en-US"/>
        </w:rPr>
      </w:pPr>
      <w:r>
        <w:rPr>
          <w:rStyle w:val="None"/>
          <w:sz w:val="20"/>
          <w:szCs w:val="20"/>
          <w:rtl w:val="0"/>
          <w:lang w:val="en-US"/>
        </w:rPr>
        <w:t>Provide consultative tax guidance to business owners and commercial clients through Intuit's Expert Network.</w:t>
      </w:r>
    </w:p>
    <w:p>
      <w:pPr>
        <w:pStyle w:val="Body"/>
        <w:numPr>
          <w:ilvl w:val="0"/>
          <w:numId w:val="2"/>
        </w:numPr>
        <w:bidi w:val="0"/>
        <w:ind w:right="0"/>
        <w:jc w:val="left"/>
        <w:rPr>
          <w:sz w:val="20"/>
          <w:szCs w:val="20"/>
          <w:rtl w:val="0"/>
          <w:lang w:val="en-US"/>
        </w:rPr>
      </w:pPr>
      <w:r>
        <w:rPr>
          <w:rStyle w:val="None"/>
          <w:sz w:val="20"/>
          <w:szCs w:val="20"/>
          <w:rtl w:val="0"/>
          <w:lang w:val="en-US"/>
        </w:rPr>
        <w:t>Review complex individual and business tax returns for regional and mid-sized CPA firms while identifying tax planning opportunities and resolving technical issues.</w:t>
      </w:r>
    </w:p>
    <w:p>
      <w:pPr>
        <w:pStyle w:val="Body"/>
        <w:numPr>
          <w:ilvl w:val="0"/>
          <w:numId w:val="2"/>
        </w:numPr>
        <w:bidi w:val="0"/>
        <w:ind w:right="0"/>
        <w:jc w:val="left"/>
        <w:rPr>
          <w:sz w:val="20"/>
          <w:szCs w:val="20"/>
          <w:rtl w:val="0"/>
          <w:lang w:val="en-US"/>
        </w:rPr>
      </w:pPr>
      <w:r>
        <w:rPr>
          <w:rStyle w:val="None"/>
          <w:sz w:val="20"/>
          <w:szCs w:val="20"/>
          <w:rtl w:val="0"/>
          <w:lang w:val="en-US"/>
        </w:rPr>
        <w:t>Utilise ChatGPT, Claude, and Intuit Internal AI to research tax law, analyse complex tax scenarios, validate reporting positions, and improve client response times.</w:t>
      </w:r>
    </w:p>
    <w:p>
      <w:pPr>
        <w:pStyle w:val="Body"/>
        <w:numPr>
          <w:ilvl w:val="0"/>
          <w:numId w:val="2"/>
        </w:numPr>
        <w:bidi w:val="0"/>
        <w:ind w:right="0"/>
        <w:jc w:val="left"/>
        <w:rPr>
          <w:sz w:val="20"/>
          <w:szCs w:val="20"/>
          <w:rtl w:val="0"/>
          <w:lang w:val="en-US"/>
        </w:rPr>
      </w:pPr>
      <w:r>
        <w:rPr>
          <w:rStyle w:val="None"/>
          <w:sz w:val="20"/>
          <w:szCs w:val="20"/>
          <w:rtl w:val="0"/>
          <w:lang w:val="en-US"/>
        </w:rPr>
        <w:t xml:space="preserve">Prepare and review returns using </w:t>
      </w:r>
      <w:r>
        <w:rPr>
          <w:rStyle w:val="None"/>
          <w:b w:val="1"/>
          <w:bCs w:val="1"/>
          <w:sz w:val="20"/>
          <w:szCs w:val="20"/>
          <w:rtl w:val="0"/>
          <w:lang w:val="en-US"/>
        </w:rPr>
        <w:t>CCH Tax (Individual &amp; Business), Lacerte, SurePrep, ProConnect, and UltraTax</w:t>
      </w:r>
      <w:r>
        <w:rPr>
          <w:rStyle w:val="None"/>
          <w:sz w:val="20"/>
          <w:szCs w:val="20"/>
          <w:rtl w:val="0"/>
        </w:rPr>
        <w:t>.</w:t>
      </w:r>
    </w:p>
    <w:p>
      <w:pPr>
        <w:pStyle w:val="Body"/>
        <w:numPr>
          <w:ilvl w:val="0"/>
          <w:numId w:val="2"/>
        </w:numPr>
        <w:bidi w:val="0"/>
        <w:spacing w:after="240"/>
        <w:ind w:right="0"/>
        <w:jc w:val="left"/>
        <w:rPr>
          <w:sz w:val="20"/>
          <w:szCs w:val="20"/>
          <w:rtl w:val="0"/>
          <w:lang w:val="en-US"/>
        </w:rPr>
      </w:pPr>
      <w:r>
        <w:rPr>
          <w:rStyle w:val="None"/>
          <w:sz w:val="20"/>
          <w:szCs w:val="20"/>
          <w:rtl w:val="0"/>
          <w:lang w:val="en-US"/>
        </w:rPr>
        <w:t>Completed Intuit Tax Level I &amp; II Certifications with additional advanced training covering multi-state taxation, foreign income, Schedule C businesses, investments, rental activities, and complex reporting situations.</w:t>
      </w:r>
    </w:p>
    <w:p>
      <w:pPr>
        <w:pStyle w:val="Heading 2"/>
        <w:keepNext w:val="0"/>
        <w:keepLines w:val="0"/>
        <w:spacing w:after="80"/>
        <w:rPr>
          <w:rStyle w:val="None"/>
          <w:b w:val="1"/>
          <w:bCs w:val="1"/>
          <w:sz w:val="20"/>
          <w:szCs w:val="20"/>
        </w:rPr>
      </w:pPr>
    </w:p>
    <w:p>
      <w:pPr>
        <w:pStyle w:val="Heading 2"/>
        <w:keepNext w:val="0"/>
        <w:keepLines w:val="0"/>
        <w:spacing w:after="80"/>
        <w:rPr>
          <w:rStyle w:val="None"/>
          <w:b w:val="1"/>
          <w:bCs w:val="1"/>
          <w:sz w:val="20"/>
          <w:szCs w:val="20"/>
        </w:rPr>
      </w:pPr>
      <w:bookmarkStart w:name="_f98eyjiohj7o" w:id="3"/>
      <w:bookmarkEnd w:id="3"/>
      <w:r>
        <w:rPr>
          <w:rStyle w:val="None"/>
          <w:b w:val="1"/>
          <w:bCs w:val="1"/>
          <w:sz w:val="20"/>
          <w:szCs w:val="20"/>
          <w:rtl w:val="0"/>
        </w:rPr>
        <w:t>A</w:t>
      </w:r>
      <w:r>
        <w:rPr>
          <w:rStyle w:val="None"/>
          <w:b w:val="1"/>
          <w:bCs w:val="1"/>
          <w:sz w:val="20"/>
          <w:szCs w:val="20"/>
          <w:rtl w:val="0"/>
          <w:lang w:val="en-US"/>
        </w:rPr>
        <w:t>DDITIONAL EXPERIENCE</w:t>
      </w:r>
    </w:p>
    <w:p>
      <w:pPr>
        <w:pStyle w:val="Body"/>
        <w:spacing w:before="240" w:after="240"/>
        <w:rPr>
          <w:rStyle w:val="None"/>
          <w:i w:val="1"/>
          <w:iCs w:val="1"/>
          <w:sz w:val="20"/>
          <w:szCs w:val="20"/>
        </w:rPr>
      </w:pPr>
      <w:r>
        <w:rPr>
          <w:rStyle w:val="None"/>
          <w:b w:val="1"/>
          <w:bCs w:val="1"/>
          <w:sz w:val="20"/>
          <w:szCs w:val="20"/>
          <w:rtl w:val="0"/>
          <w:lang w:val="en-US"/>
        </w:rPr>
        <w:t>KPMG, New York, NY</w:t>
      </w:r>
      <w:r>
        <w:rPr>
          <w:rStyle w:val="None"/>
          <w:sz w:val="20"/>
          <w:szCs w:val="20"/>
          <w:rtl w:val="0"/>
        </w:rPr>
        <w:t xml:space="preserve"> </w:t>
      </w:r>
      <w:r>
        <w:rPr>
          <w:rStyle w:val="None"/>
          <w:b w:val="1"/>
          <w:bCs w:val="1"/>
          <w:sz w:val="20"/>
          <w:szCs w:val="20"/>
          <w:rtl w:val="0"/>
          <w:lang w:val="en-US"/>
        </w:rPr>
        <w:t xml:space="preserve">October 2021 </w:t>
      </w:r>
      <w:r>
        <w:rPr>
          <w:rStyle w:val="None"/>
          <w:b w:val="1"/>
          <w:bCs w:val="1"/>
          <w:sz w:val="20"/>
          <w:szCs w:val="20"/>
          <w:rtl w:val="0"/>
        </w:rPr>
        <w:t xml:space="preserve">– </w:t>
      </w:r>
      <w:r>
        <w:rPr>
          <w:rStyle w:val="None"/>
          <w:b w:val="1"/>
          <w:bCs w:val="1"/>
          <w:sz w:val="20"/>
          <w:szCs w:val="20"/>
          <w:rtl w:val="0"/>
          <w:lang w:val="en-US"/>
        </w:rPr>
        <w:t>January 2022</w:t>
      </w:r>
      <w:r>
        <w:rPr>
          <w:rStyle w:val="None"/>
          <w:b w:val="1"/>
          <w:bCs w:val="1"/>
          <w:sz w:val="20"/>
          <w:szCs w:val="20"/>
        </w:rPr>
        <w:br w:type="textWrapping"/>
      </w:r>
      <w:r>
        <w:rPr>
          <w:rStyle w:val="None"/>
          <w:i w:val="1"/>
          <w:iCs w:val="1"/>
          <w:sz w:val="20"/>
          <w:szCs w:val="20"/>
          <w:rtl w:val="0"/>
          <w:lang w:val="en-US"/>
        </w:rPr>
        <w:t>Internal Audit Consultant (JPMorgan Chase)</w:t>
      </w:r>
    </w:p>
    <w:p>
      <w:pPr>
        <w:pStyle w:val="Body"/>
        <w:numPr>
          <w:ilvl w:val="0"/>
          <w:numId w:val="4"/>
        </w:numPr>
        <w:bidi w:val="0"/>
        <w:spacing w:before="240"/>
        <w:ind w:right="0"/>
        <w:jc w:val="left"/>
        <w:rPr>
          <w:sz w:val="20"/>
          <w:szCs w:val="20"/>
          <w:rtl w:val="0"/>
          <w:lang w:val="en-US"/>
        </w:rPr>
      </w:pPr>
      <w:r>
        <w:rPr>
          <w:rStyle w:val="None"/>
          <w:sz w:val="20"/>
          <w:szCs w:val="20"/>
          <w:rtl w:val="0"/>
          <w:lang w:val="en-US"/>
        </w:rPr>
        <w:t xml:space="preserve">Reviewed audit </w:t>
      </w:r>
      <w:r>
        <w:rPr>
          <w:rStyle w:val="None"/>
          <w:sz w:val="20"/>
          <w:szCs w:val="20"/>
          <w:rtl w:val="0"/>
          <w:lang w:val="en-US"/>
        </w:rPr>
        <w:t>work-papers</w:t>
      </w:r>
      <w:r>
        <w:rPr>
          <w:rStyle w:val="None"/>
          <w:sz w:val="20"/>
          <w:szCs w:val="20"/>
          <w:rtl w:val="0"/>
          <w:lang w:val="en-US"/>
        </w:rPr>
        <w:t>, validated remediation activities, and tested operational controls supporting SOX compliance and corporate governance.</w:t>
      </w:r>
    </w:p>
    <w:p>
      <w:pPr>
        <w:pStyle w:val="Body"/>
        <w:numPr>
          <w:ilvl w:val="0"/>
          <w:numId w:val="4"/>
        </w:numPr>
        <w:bidi w:val="0"/>
        <w:spacing w:after="240"/>
        <w:ind w:right="0"/>
        <w:jc w:val="left"/>
        <w:rPr>
          <w:sz w:val="20"/>
          <w:szCs w:val="20"/>
          <w:rtl w:val="0"/>
          <w:lang w:val="en-US"/>
        </w:rPr>
      </w:pPr>
      <w:r>
        <w:rPr>
          <w:rStyle w:val="None"/>
          <w:sz w:val="20"/>
          <w:szCs w:val="20"/>
          <w:rtl w:val="0"/>
          <w:lang w:val="en-US"/>
        </w:rPr>
        <w:t>Evaluated third-party risk controls, regulatory requirements, and legal governance standards while coordinating with internal audit teams.</w:t>
      </w:r>
    </w:p>
    <w:p>
      <w:pPr>
        <w:pStyle w:val="Body"/>
        <w:spacing w:before="240" w:after="240"/>
        <w:rPr>
          <w:rStyle w:val="None"/>
          <w:i w:val="1"/>
          <w:iCs w:val="1"/>
          <w:sz w:val="20"/>
          <w:szCs w:val="20"/>
        </w:rPr>
      </w:pPr>
      <w:r>
        <w:rPr>
          <w:rStyle w:val="None"/>
          <w:b w:val="1"/>
          <w:bCs w:val="1"/>
          <w:sz w:val="20"/>
          <w:szCs w:val="20"/>
          <w:rtl w:val="0"/>
          <w:lang w:val="de-DE"/>
        </w:rPr>
        <w:t>PRUDENTIAL INSURANCE, Newark, NJ</w:t>
      </w:r>
      <w:r>
        <w:rPr>
          <w:rStyle w:val="None"/>
          <w:sz w:val="20"/>
          <w:szCs w:val="20"/>
          <w:rtl w:val="0"/>
        </w:rPr>
        <w:t xml:space="preserve"> </w:t>
      </w:r>
      <w:r>
        <w:rPr>
          <w:rStyle w:val="None"/>
          <w:b w:val="1"/>
          <w:bCs w:val="1"/>
          <w:sz w:val="20"/>
          <w:szCs w:val="20"/>
          <w:rtl w:val="0"/>
          <w:lang w:val="en-US"/>
        </w:rPr>
        <w:t xml:space="preserve">July 2013 </w:t>
      </w:r>
      <w:r>
        <w:rPr>
          <w:rStyle w:val="None"/>
          <w:b w:val="1"/>
          <w:bCs w:val="1"/>
          <w:sz w:val="20"/>
          <w:szCs w:val="20"/>
          <w:rtl w:val="0"/>
        </w:rPr>
        <w:t xml:space="preserve">– </w:t>
      </w:r>
      <w:r>
        <w:rPr>
          <w:rStyle w:val="None"/>
          <w:b w:val="1"/>
          <w:bCs w:val="1"/>
          <w:sz w:val="20"/>
          <w:szCs w:val="20"/>
          <w:rtl w:val="0"/>
          <w:lang w:val="en-US"/>
        </w:rPr>
        <w:t>January 2014</w:t>
      </w:r>
      <w:r>
        <w:rPr>
          <w:rStyle w:val="None"/>
          <w:b w:val="1"/>
          <w:bCs w:val="1"/>
          <w:sz w:val="20"/>
          <w:szCs w:val="20"/>
        </w:rPr>
        <w:br w:type="textWrapping"/>
      </w:r>
      <w:r>
        <w:rPr>
          <w:rStyle w:val="None"/>
          <w:i w:val="1"/>
          <w:iCs w:val="1"/>
          <w:sz w:val="20"/>
          <w:szCs w:val="20"/>
          <w:rtl w:val="0"/>
          <w:lang w:val="it-IT"/>
        </w:rPr>
        <w:t>Audit Consultant</w:t>
      </w:r>
    </w:p>
    <w:p>
      <w:pPr>
        <w:pStyle w:val="Body"/>
        <w:numPr>
          <w:ilvl w:val="0"/>
          <w:numId w:val="6"/>
        </w:numPr>
        <w:bidi w:val="0"/>
        <w:spacing w:before="240"/>
        <w:ind w:right="0"/>
        <w:jc w:val="left"/>
        <w:rPr>
          <w:sz w:val="20"/>
          <w:szCs w:val="20"/>
          <w:rtl w:val="0"/>
          <w:lang w:val="en-US"/>
        </w:rPr>
      </w:pPr>
      <w:r>
        <w:rPr>
          <w:rStyle w:val="None"/>
          <w:sz w:val="20"/>
          <w:szCs w:val="20"/>
          <w:rtl w:val="0"/>
          <w:lang w:val="en-US"/>
        </w:rPr>
        <w:t>Performed SOX 404 control testing across payroll, employee benefits, investments, tax, and information technology processes.</w:t>
      </w:r>
    </w:p>
    <w:p>
      <w:pPr>
        <w:pStyle w:val="Body"/>
        <w:numPr>
          <w:ilvl w:val="0"/>
          <w:numId w:val="6"/>
        </w:numPr>
        <w:bidi w:val="0"/>
        <w:spacing w:after="240"/>
        <w:ind w:right="0"/>
        <w:jc w:val="left"/>
        <w:rPr>
          <w:sz w:val="20"/>
          <w:szCs w:val="20"/>
          <w:rtl w:val="0"/>
          <w:lang w:val="en-US"/>
        </w:rPr>
      </w:pPr>
      <w:r>
        <w:rPr>
          <w:rStyle w:val="None"/>
          <w:sz w:val="20"/>
          <w:szCs w:val="20"/>
          <w:rtl w:val="0"/>
          <w:lang w:val="en-US"/>
        </w:rPr>
        <w:t>Worked with management to evaluate deficiencies and support remediation efforts to strengthen internal controls.</w:t>
      </w:r>
    </w:p>
    <w:p>
      <w:pPr>
        <w:pStyle w:val="Body"/>
        <w:spacing w:before="240" w:after="240"/>
        <w:rPr>
          <w:rStyle w:val="None"/>
          <w:i w:val="1"/>
          <w:iCs w:val="1"/>
          <w:sz w:val="20"/>
          <w:szCs w:val="20"/>
        </w:rPr>
      </w:pPr>
      <w:r>
        <w:rPr>
          <w:rStyle w:val="None"/>
          <w:b w:val="1"/>
          <w:bCs w:val="1"/>
          <w:sz w:val="20"/>
          <w:szCs w:val="20"/>
          <w:rtl w:val="0"/>
          <w:lang w:val="en-US"/>
        </w:rPr>
        <w:t>ERNST &amp; YOUNG, LLP, New York, NY</w:t>
      </w:r>
      <w:r>
        <w:rPr>
          <w:rStyle w:val="None"/>
          <w:sz w:val="20"/>
          <w:szCs w:val="20"/>
          <w:rtl w:val="0"/>
        </w:rPr>
        <w:t xml:space="preserve"> </w:t>
      </w:r>
      <w:r>
        <w:rPr>
          <w:rStyle w:val="None"/>
          <w:b w:val="1"/>
          <w:bCs w:val="1"/>
          <w:sz w:val="20"/>
          <w:szCs w:val="20"/>
          <w:rtl w:val="0"/>
          <w:lang w:val="en-US"/>
        </w:rPr>
        <w:t xml:space="preserve">July 2004 </w:t>
      </w:r>
      <w:r>
        <w:rPr>
          <w:rStyle w:val="None"/>
          <w:b w:val="1"/>
          <w:bCs w:val="1"/>
          <w:sz w:val="20"/>
          <w:szCs w:val="20"/>
          <w:rtl w:val="0"/>
        </w:rPr>
        <w:t xml:space="preserve">– </w:t>
      </w:r>
      <w:r>
        <w:rPr>
          <w:rStyle w:val="None"/>
          <w:b w:val="1"/>
          <w:bCs w:val="1"/>
          <w:sz w:val="20"/>
          <w:szCs w:val="20"/>
          <w:rtl w:val="0"/>
          <w:lang w:val="en-US"/>
        </w:rPr>
        <w:t>October 2005</w:t>
      </w:r>
      <w:r>
        <w:rPr>
          <w:rStyle w:val="None"/>
          <w:b w:val="1"/>
          <w:bCs w:val="1"/>
          <w:sz w:val="20"/>
          <w:szCs w:val="20"/>
        </w:rPr>
        <w:br w:type="textWrapping"/>
      </w:r>
      <w:r>
        <w:rPr>
          <w:rStyle w:val="None"/>
          <w:i w:val="1"/>
          <w:iCs w:val="1"/>
          <w:sz w:val="20"/>
          <w:szCs w:val="20"/>
          <w:rtl w:val="0"/>
          <w:lang w:val="pt-PT"/>
        </w:rPr>
        <w:t>Internal / External Auditor</w:t>
      </w:r>
    </w:p>
    <w:p>
      <w:pPr>
        <w:pStyle w:val="Body"/>
        <w:numPr>
          <w:ilvl w:val="0"/>
          <w:numId w:val="8"/>
        </w:numPr>
        <w:bidi w:val="0"/>
        <w:spacing w:before="240"/>
        <w:ind w:right="0"/>
        <w:jc w:val="left"/>
        <w:rPr>
          <w:sz w:val="20"/>
          <w:szCs w:val="20"/>
          <w:rtl w:val="0"/>
          <w:lang w:val="en-US"/>
        </w:rPr>
      </w:pPr>
      <w:r>
        <w:rPr>
          <w:rStyle w:val="None"/>
          <w:sz w:val="20"/>
          <w:szCs w:val="20"/>
          <w:rtl w:val="0"/>
          <w:lang w:val="en-US"/>
        </w:rPr>
        <w:t>Performed SOX 404 compliance testing, financial statement audits, substantive testing, and internal control evaluations for Fortune 500 clients.</w:t>
      </w:r>
    </w:p>
    <w:p>
      <w:pPr>
        <w:pStyle w:val="Body"/>
        <w:numPr>
          <w:ilvl w:val="0"/>
          <w:numId w:val="8"/>
        </w:numPr>
        <w:bidi w:val="0"/>
        <w:spacing w:after="240"/>
        <w:ind w:right="0"/>
        <w:jc w:val="left"/>
        <w:rPr>
          <w:sz w:val="20"/>
          <w:szCs w:val="20"/>
          <w:rtl w:val="0"/>
          <w:lang w:val="en-US"/>
        </w:rPr>
      </w:pPr>
      <w:r>
        <w:rPr>
          <w:rStyle w:val="None"/>
          <w:sz w:val="20"/>
          <w:szCs w:val="20"/>
          <w:rtl w:val="0"/>
          <w:lang w:val="en-US"/>
        </w:rPr>
        <w:t>Researched accounting issues, documented business processes, and supported risk assessments across financial reporting engagements.</w:t>
      </w:r>
    </w:p>
    <w:p>
      <w:pPr>
        <w:pStyle w:val="Body"/>
        <w:spacing w:before="240" w:after="240"/>
        <w:rPr>
          <w:rStyle w:val="None"/>
          <w:i w:val="1"/>
          <w:iCs w:val="1"/>
          <w:sz w:val="20"/>
          <w:szCs w:val="20"/>
        </w:rPr>
      </w:pPr>
      <w:r>
        <w:rPr>
          <w:rStyle w:val="None"/>
          <w:b w:val="1"/>
          <w:bCs w:val="1"/>
          <w:sz w:val="20"/>
          <w:szCs w:val="20"/>
          <w:rtl w:val="0"/>
          <w:lang w:val="en-US"/>
        </w:rPr>
        <w:t>PRICEWATERHOUSECOOPERS (PWC), New York, NY</w:t>
      </w:r>
      <w:r>
        <w:rPr>
          <w:rStyle w:val="None"/>
          <w:sz w:val="20"/>
          <w:szCs w:val="20"/>
          <w:rtl w:val="0"/>
        </w:rPr>
        <w:t xml:space="preserve"> </w:t>
      </w:r>
      <w:r>
        <w:rPr>
          <w:rStyle w:val="None"/>
          <w:b w:val="1"/>
          <w:bCs w:val="1"/>
          <w:sz w:val="20"/>
          <w:szCs w:val="20"/>
          <w:rtl w:val="0"/>
          <w:lang w:val="en-US"/>
        </w:rPr>
        <w:t xml:space="preserve">February 2001 </w:t>
      </w:r>
      <w:r>
        <w:rPr>
          <w:rStyle w:val="None"/>
          <w:b w:val="1"/>
          <w:bCs w:val="1"/>
          <w:sz w:val="20"/>
          <w:szCs w:val="20"/>
          <w:rtl w:val="0"/>
        </w:rPr>
        <w:t xml:space="preserve">– </w:t>
      </w:r>
      <w:r>
        <w:rPr>
          <w:rStyle w:val="None"/>
          <w:b w:val="1"/>
          <w:bCs w:val="1"/>
          <w:sz w:val="20"/>
          <w:szCs w:val="20"/>
          <w:rtl w:val="0"/>
        </w:rPr>
        <w:t>December 2001</w:t>
      </w:r>
      <w:r>
        <w:rPr>
          <w:rStyle w:val="None"/>
          <w:b w:val="1"/>
          <w:bCs w:val="1"/>
          <w:sz w:val="20"/>
          <w:szCs w:val="20"/>
        </w:rPr>
        <w:br w:type="textWrapping"/>
      </w:r>
      <w:r>
        <w:rPr>
          <w:rStyle w:val="None"/>
          <w:i w:val="1"/>
          <w:iCs w:val="1"/>
          <w:sz w:val="20"/>
          <w:szCs w:val="20"/>
          <w:rtl w:val="0"/>
          <w:lang w:val="en-US"/>
        </w:rPr>
        <w:t>Property Tax Associate</w:t>
      </w:r>
    </w:p>
    <w:p>
      <w:pPr>
        <w:pStyle w:val="Body"/>
        <w:numPr>
          <w:ilvl w:val="0"/>
          <w:numId w:val="10"/>
        </w:numPr>
        <w:bidi w:val="0"/>
        <w:spacing w:before="240"/>
        <w:ind w:right="0"/>
        <w:jc w:val="left"/>
        <w:rPr>
          <w:sz w:val="20"/>
          <w:szCs w:val="20"/>
          <w:rtl w:val="0"/>
          <w:lang w:val="en-US"/>
        </w:rPr>
      </w:pPr>
      <w:r>
        <w:rPr>
          <w:rStyle w:val="None"/>
          <w:sz w:val="20"/>
          <w:szCs w:val="20"/>
          <w:rtl w:val="0"/>
          <w:lang w:val="en-US"/>
        </w:rPr>
        <w:t>Provided property tax consulting, technical research, and compliance support for commercial clients.</w:t>
      </w:r>
    </w:p>
    <w:p>
      <w:pPr>
        <w:pStyle w:val="Body"/>
        <w:numPr>
          <w:ilvl w:val="0"/>
          <w:numId w:val="10"/>
        </w:numPr>
        <w:bidi w:val="0"/>
        <w:spacing w:after="240"/>
        <w:ind w:right="0"/>
        <w:jc w:val="left"/>
        <w:rPr>
          <w:sz w:val="20"/>
          <w:szCs w:val="20"/>
          <w:rtl w:val="0"/>
          <w:lang w:val="en-US"/>
        </w:rPr>
      </w:pPr>
      <w:r>
        <w:rPr>
          <w:rStyle w:val="None"/>
          <w:sz w:val="20"/>
          <w:szCs w:val="20"/>
          <w:rtl w:val="0"/>
          <w:lang w:val="en-US"/>
        </w:rPr>
        <w:t>Prepared property tax filings and developed recommendations based on tax research and client business needs.</w:t>
      </w:r>
    </w:p>
    <w:p>
      <w:pPr>
        <w:pStyle w:val="Body"/>
        <w:spacing w:before="240" w:after="240"/>
        <w:rPr>
          <w:rStyle w:val="None"/>
          <w:i w:val="1"/>
          <w:iCs w:val="1"/>
          <w:sz w:val="20"/>
          <w:szCs w:val="20"/>
        </w:rPr>
      </w:pPr>
      <w:r>
        <w:rPr>
          <w:rStyle w:val="None"/>
          <w:b w:val="1"/>
          <w:bCs w:val="1"/>
          <w:sz w:val="20"/>
          <w:szCs w:val="20"/>
          <w:rtl w:val="0"/>
          <w:lang w:val="de-DE"/>
        </w:rPr>
        <w:t>MARRIOTT INC., Rockville, MD</w:t>
      </w:r>
      <w:r>
        <w:rPr>
          <w:rStyle w:val="None"/>
          <w:sz w:val="20"/>
          <w:szCs w:val="20"/>
          <w:rtl w:val="0"/>
        </w:rPr>
        <w:t xml:space="preserve"> </w:t>
      </w:r>
      <w:r>
        <w:rPr>
          <w:rStyle w:val="None"/>
          <w:b w:val="1"/>
          <w:bCs w:val="1"/>
          <w:sz w:val="20"/>
          <w:szCs w:val="20"/>
          <w:rtl w:val="0"/>
          <w:lang w:val="en-US"/>
        </w:rPr>
        <w:t xml:space="preserve">January 1997 </w:t>
      </w:r>
      <w:r>
        <w:rPr>
          <w:rStyle w:val="None"/>
          <w:b w:val="1"/>
          <w:bCs w:val="1"/>
          <w:sz w:val="20"/>
          <w:szCs w:val="20"/>
          <w:rtl w:val="0"/>
        </w:rPr>
        <w:t xml:space="preserve">– </w:t>
      </w:r>
      <w:r>
        <w:rPr>
          <w:rStyle w:val="None"/>
          <w:b w:val="1"/>
          <w:bCs w:val="1"/>
          <w:sz w:val="20"/>
          <w:szCs w:val="20"/>
          <w:rtl w:val="0"/>
          <w:lang w:val="en-US"/>
        </w:rPr>
        <w:t>January 1999</w:t>
      </w:r>
      <w:r>
        <w:rPr>
          <w:rStyle w:val="None"/>
          <w:b w:val="1"/>
          <w:bCs w:val="1"/>
          <w:sz w:val="20"/>
          <w:szCs w:val="20"/>
        </w:rPr>
        <w:br w:type="textWrapping"/>
      </w:r>
      <w:r>
        <w:rPr>
          <w:rStyle w:val="None"/>
          <w:i w:val="1"/>
          <w:iCs w:val="1"/>
          <w:sz w:val="20"/>
          <w:szCs w:val="20"/>
          <w:rtl w:val="0"/>
          <w:lang w:val="en-US"/>
        </w:rPr>
        <w:t>Property Tax Accountant / Internal Audit</w:t>
      </w:r>
    </w:p>
    <w:p>
      <w:pPr>
        <w:pStyle w:val="Body"/>
        <w:numPr>
          <w:ilvl w:val="0"/>
          <w:numId w:val="12"/>
        </w:numPr>
        <w:bidi w:val="0"/>
        <w:spacing w:before="240"/>
        <w:ind w:right="0"/>
        <w:jc w:val="left"/>
        <w:rPr>
          <w:sz w:val="20"/>
          <w:szCs w:val="20"/>
          <w:rtl w:val="0"/>
          <w:lang w:val="en-US"/>
        </w:rPr>
      </w:pPr>
      <w:r>
        <w:rPr>
          <w:rStyle w:val="None"/>
          <w:sz w:val="20"/>
          <w:szCs w:val="20"/>
          <w:rtl w:val="0"/>
          <w:lang w:val="en-US"/>
        </w:rPr>
        <w:t>Audited property tax records, internal controls, and accrual account balances to ensure compliance with company policies.</w:t>
      </w:r>
    </w:p>
    <w:p>
      <w:pPr>
        <w:pStyle w:val="Body"/>
        <w:numPr>
          <w:ilvl w:val="0"/>
          <w:numId w:val="12"/>
        </w:numPr>
        <w:bidi w:val="0"/>
        <w:spacing w:after="240"/>
        <w:ind w:right="0"/>
        <w:jc w:val="left"/>
        <w:rPr>
          <w:sz w:val="20"/>
          <w:szCs w:val="20"/>
          <w:rtl w:val="0"/>
          <w:lang w:val="en-US"/>
        </w:rPr>
      </w:pPr>
      <w:r>
        <w:rPr>
          <w:rStyle w:val="None"/>
          <w:sz w:val="20"/>
          <w:szCs w:val="20"/>
          <w:rtl w:val="0"/>
          <w:lang w:val="en-US"/>
        </w:rPr>
        <w:t>Performed analytical reviews, reconciliations, and financial testing supporting property tax reporting and internal audit objectives.</w:t>
      </w:r>
    </w:p>
    <w:p>
      <w:pPr>
        <w:pStyle w:val="Heading 2"/>
        <w:keepNext w:val="0"/>
        <w:keepLines w:val="0"/>
        <w:spacing w:after="80"/>
        <w:rPr>
          <w:rStyle w:val="None"/>
          <w:b w:val="1"/>
          <w:bCs w:val="1"/>
          <w:sz w:val="20"/>
          <w:szCs w:val="20"/>
        </w:rPr>
      </w:pPr>
      <w:bookmarkStart w:name="_z3t1kebh8hx3" w:id="4"/>
      <w:bookmarkEnd w:id="4"/>
      <w:r>
        <w:rPr>
          <w:rStyle w:val="None"/>
          <w:b w:val="1"/>
          <w:bCs w:val="1"/>
          <w:sz w:val="20"/>
          <w:szCs w:val="20"/>
          <w:rtl w:val="0"/>
        </w:rPr>
        <w:t>E</w:t>
      </w:r>
      <w:r>
        <w:rPr>
          <w:rStyle w:val="None"/>
          <w:b w:val="1"/>
          <w:bCs w:val="1"/>
          <w:sz w:val="20"/>
          <w:szCs w:val="20"/>
          <w:rtl w:val="0"/>
          <w:lang w:val="en-US"/>
        </w:rPr>
        <w:t>DUCATION &amp; CERTIFICATIONS</w:t>
      </w:r>
    </w:p>
    <w:p>
      <w:pPr>
        <w:pStyle w:val="Body"/>
        <w:spacing w:before="240" w:after="240"/>
      </w:pPr>
      <w:r>
        <w:rPr>
          <w:rStyle w:val="None"/>
          <w:sz w:val="20"/>
          <w:szCs w:val="20"/>
          <w:rtl w:val="0"/>
          <w:lang w:val="en-US"/>
        </w:rPr>
        <w:t xml:space="preserve">University of Rio Grande, Rio Grande, OH </w:t>
      </w:r>
      <w:r>
        <w:rPr>
          <w:rStyle w:val="None"/>
          <w:sz w:val="20"/>
          <w:szCs w:val="20"/>
          <w:rtl w:val="0"/>
        </w:rPr>
        <w:t xml:space="preserve">– </w:t>
      </w:r>
      <w:r>
        <w:rPr>
          <w:rStyle w:val="None"/>
          <w:sz w:val="20"/>
          <w:szCs w:val="20"/>
          <w:rtl w:val="0"/>
          <w:lang w:val="en-US"/>
        </w:rPr>
        <w:t xml:space="preserve">Accounting </w:t>
      </w:r>
      <w:r>
        <w:rPr>
          <w:rStyle w:val="None"/>
          <w:sz w:val="20"/>
          <w:szCs w:val="20"/>
          <w:rtl w:val="0"/>
        </w:rPr>
        <w:t xml:space="preserve">• </w:t>
      </w:r>
      <w:r>
        <w:rPr>
          <w:rStyle w:val="None"/>
          <w:sz w:val="20"/>
          <w:szCs w:val="20"/>
          <w:rtl w:val="0"/>
          <w:lang w:val="en-US"/>
        </w:rPr>
        <w:t xml:space="preserve">Licensed CPA (Maryland) </w:t>
      </w:r>
      <w:r>
        <w:rPr>
          <w:rStyle w:val="None"/>
          <w:sz w:val="20"/>
          <w:szCs w:val="20"/>
          <w:rtl w:val="0"/>
        </w:rPr>
        <w:t xml:space="preserve">• </w:t>
      </w:r>
      <w:r>
        <w:rPr>
          <w:rStyle w:val="None"/>
          <w:sz w:val="20"/>
          <w:szCs w:val="20"/>
          <w:rtl w:val="0"/>
          <w:lang w:val="en-US"/>
        </w:rPr>
        <w:t xml:space="preserve">Intuit Tax Level I &amp; II Certifications </w:t>
      </w:r>
      <w:r>
        <w:rPr>
          <w:rStyle w:val="None"/>
          <w:sz w:val="20"/>
          <w:szCs w:val="20"/>
          <w:rtl w:val="0"/>
        </w:rPr>
        <w:t xml:space="preserve">• </w:t>
      </w:r>
      <w:r>
        <w:rPr>
          <w:rStyle w:val="None"/>
          <w:sz w:val="20"/>
          <w:szCs w:val="20"/>
          <w:rtl w:val="0"/>
          <w:lang w:val="fr-FR"/>
        </w:rPr>
        <w:t xml:space="preserve">La Sorbonne, Paris, France </w:t>
      </w:r>
      <w:r>
        <w:rPr>
          <w:rStyle w:val="None"/>
          <w:sz w:val="20"/>
          <w:szCs w:val="20"/>
          <w:rtl w:val="0"/>
        </w:rPr>
        <w:t xml:space="preserve">– </w:t>
      </w:r>
      <w:r>
        <w:rPr>
          <w:rStyle w:val="None"/>
          <w:sz w:val="20"/>
          <w:szCs w:val="20"/>
          <w:rtl w:val="0"/>
          <w:lang w:val="en-US"/>
        </w:rPr>
        <w:t xml:space="preserve">French Language, Culture &amp; Civilization </w:t>
      </w:r>
      <w:r>
        <w:rPr>
          <w:rStyle w:val="None"/>
          <w:sz w:val="20"/>
          <w:szCs w:val="20"/>
          <w:rtl w:val="0"/>
        </w:rPr>
        <w:t xml:space="preserve">• </w:t>
      </w:r>
      <w:r>
        <w:rPr>
          <w:rStyle w:val="None"/>
          <w:sz w:val="20"/>
          <w:szCs w:val="20"/>
          <w:rtl w:val="0"/>
          <w:lang w:val="fr-FR"/>
        </w:rPr>
        <w:t xml:space="preserve">Mairie de Paris </w:t>
      </w:r>
      <w:r>
        <w:rPr>
          <w:rStyle w:val="None"/>
          <w:sz w:val="20"/>
          <w:szCs w:val="20"/>
          <w:rtl w:val="0"/>
        </w:rPr>
        <w:t xml:space="preserve">– </w:t>
      </w:r>
      <w:r>
        <w:rPr>
          <w:rStyle w:val="None"/>
          <w:sz w:val="20"/>
          <w:szCs w:val="20"/>
          <w:rtl w:val="0"/>
        </w:rPr>
        <w:t>Contr</w:t>
      </w:r>
      <w:r>
        <w:rPr>
          <w:rStyle w:val="None"/>
          <w:sz w:val="20"/>
          <w:szCs w:val="20"/>
          <w:rtl w:val="0"/>
        </w:rPr>
        <w:t>ô</w:t>
      </w:r>
      <w:r>
        <w:rPr>
          <w:rStyle w:val="None"/>
          <w:sz w:val="20"/>
          <w:szCs w:val="20"/>
          <w:rtl w:val="0"/>
          <w:lang w:val="fr-FR"/>
        </w:rPr>
        <w:t>le de Gestion et Reporting Sous Excel</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Roboto">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rPr>
        <w:rStyle w:val="None"/>
        <w:b w:val="1"/>
        <w:bCs w:val="1"/>
        <w:i w:val="1"/>
        <w:iCs w:val="1"/>
        <w:sz w:val="20"/>
        <w:szCs w:val="20"/>
      </w:rPr>
    </w:pPr>
    <w:r>
      <w:rPr>
        <w:b w:val="1"/>
        <w:bCs w:val="1"/>
        <w:sz w:val="24"/>
        <w:szCs w:val="24"/>
        <w:rtl w:val="0"/>
        <w:lang w:val="pt-PT"/>
      </w:rPr>
      <w:t>James Lavala, CPA</w:t>
    </w:r>
    <w:r>
      <w:rPr>
        <w:rtl w:val="0"/>
      </w:rPr>
      <w:tab/>
      <w:tab/>
      <w:tab/>
      <w:t xml:space="preserve">                 </w:t>
    </w:r>
    <w:r>
      <w:rPr>
        <w:sz w:val="20"/>
        <w:szCs w:val="20"/>
        <w:rtl w:val="0"/>
      </w:rPr>
      <w:t xml:space="preserve">         </w:t>
    </w:r>
    <w:r>
      <w:rPr>
        <w:rStyle w:val="Hyperlink.0"/>
      </w:rPr>
      <w:fldChar w:fldCharType="begin" w:fldLock="0"/>
    </w:r>
    <w:r>
      <w:rPr>
        <w:rStyle w:val="Hyperlink.0"/>
      </w:rPr>
      <w:instrText xml:space="preserve"> HYPERLINK "mailto:ele_lavala@yahoo.com"</w:instrText>
    </w:r>
    <w:r>
      <w:rPr>
        <w:rStyle w:val="Hyperlink.0"/>
      </w:rPr>
      <w:fldChar w:fldCharType="separate" w:fldLock="0"/>
    </w:r>
    <w:r>
      <w:rPr>
        <w:rStyle w:val="Hyperlink.0"/>
        <w:rtl w:val="0"/>
        <w:lang w:val="en-US"/>
      </w:rPr>
      <w:t>ele_lavala@yahoo.com</w:t>
    </w:r>
    <w:r>
      <w:rPr/>
      <w:fldChar w:fldCharType="end" w:fldLock="0"/>
    </w:r>
    <w:r>
      <w:rPr>
        <w:rStyle w:val="None"/>
        <w:b w:val="1"/>
        <w:bCs w:val="1"/>
        <w:i w:val="1"/>
        <w:iCs w:val="1"/>
        <w:sz w:val="20"/>
        <w:szCs w:val="20"/>
        <w:rtl w:val="0"/>
      </w:rPr>
      <w:t xml:space="preserve"> </w:t>
    </w:r>
    <w:r>
      <w:rPr>
        <w:rStyle w:val="None"/>
        <w:sz w:val="18"/>
        <w:szCs w:val="18"/>
        <w:rtl w:val="0"/>
      </w:rPr>
      <w:t xml:space="preserve">• </w:t>
    </w:r>
    <w:r>
      <w:rPr>
        <w:rStyle w:val="None"/>
        <w:b w:val="1"/>
        <w:bCs w:val="1"/>
        <w:i w:val="1"/>
        <w:iCs w:val="1"/>
        <w:sz w:val="20"/>
        <w:szCs w:val="20"/>
        <w:rtl w:val="0"/>
      </w:rPr>
      <w:t>845-767-0173</w:t>
    </w:r>
  </w:p>
  <w:p>
    <w:pPr>
      <w:pStyle w:val="Body"/>
    </w:pPr>
    <w:r>
      <w:rPr>
        <w:rStyle w:val="None"/>
        <w:i w:val="1"/>
        <w:iCs w:val="1"/>
        <w:sz w:val="24"/>
        <w:szCs w:val="24"/>
        <w:rtl w:val="0"/>
        <w:lang w:val="de-DE"/>
      </w:rPr>
      <w:t>Tax Analyst</w:t>
    </w:r>
    <w:r>
      <w:rPr>
        <w:rStyle w:val="None"/>
        <w:rtl w:val="0"/>
      </w:rPr>
      <w:t xml:space="preserve">                                                            </w:t>
    </w:r>
    <w:r>
      <w:rPr>
        <w:rStyle w:val="None"/>
        <w:rFonts w:ascii="Roboto" w:cs="Roboto" w:hAnsi="Roboto" w:eastAsia="Roboto"/>
        <w:i w:val="1"/>
        <w:iCs w:val="1"/>
        <w:sz w:val="20"/>
        <w:szCs w:val="20"/>
        <w:shd w:val="clear" w:color="auto" w:fill="ffffff"/>
        <w:rtl w:val="0"/>
      </w:rPr>
      <w:t>www.linkedin.com/in/james-lavala-cpa-093b88140</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pt-PT"/>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rial" w:cs="Arial" w:hAnsi="Arial" w:eastAsia="Arial"/>
      <w:i w:val="1"/>
      <w:iCs w:val="1"/>
      <w:outline w:val="0"/>
      <w:color w:val="1155cc"/>
      <w:sz w:val="20"/>
      <w:szCs w:val="20"/>
      <w:u w:val="single" w:color="1155cc"/>
      <w14:textFill>
        <w14:solidFill>
          <w14:srgbClr w14:val="1155CC"/>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360" w:after="120" w:line="276" w:lineRule="auto"/>
      <w:ind w:left="0" w:right="0" w:firstLine="0"/>
      <w:jc w:val="left"/>
      <w:outlineLvl w:val="1"/>
    </w:pPr>
    <w:rPr>
      <w:rFonts w:ascii="Arial" w:cs="Arial" w:hAnsi="Arial" w:eastAsia="Arial"/>
      <w:b w:val="0"/>
      <w:bCs w:val="0"/>
      <w:i w:val="0"/>
      <w:iCs w:val="0"/>
      <w:caps w:val="0"/>
      <w:smallCaps w:val="0"/>
      <w:strike w:val="0"/>
      <w:dstrike w:val="0"/>
      <w:outline w:val="0"/>
      <w:color w:val="000000"/>
      <w:spacing w:val="0"/>
      <w:kern w:val="0"/>
      <w:position w:val="0"/>
      <w:sz w:val="32"/>
      <w:szCs w:val="32"/>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