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Foresixa Enterprise</w:t>
        <w:br/>
        <w:t>Consolidated Business Plan</w:t>
      </w:r>
    </w:p>
    <w:p>
      <w:pPr>
        <w:pStyle w:val="Subtitle"/>
      </w:pPr>
      <w:r>
        <w:t>Founder review edition 24 October 2026</w:t>
      </w:r>
    </w:p>
    <w:p>
      <w:r>
        <w:t>Prepared by Dot using explicit comparison assumptions</w:t>
      </w:r>
    </w:p>
    <w:p>
      <w:r>
        <w:t>For the enterprise founder and product process owners</w:t>
      </w:r>
    </w:p>
    <w:p>
      <w:pPr>
        <w:pStyle w:val="Heading2"/>
      </w:pPr>
      <w:r>
        <w:t>Decision and purpose</w:t>
      </w:r>
    </w:p>
    <w:p>
      <w:r>
        <w:t>Use this plan as an explicit Dot comparison case—not a substitute for owner-authored business plans or budgets. It connects the enterprise portfolio to customer strategy, delivery capacity, governance and financial consequences. The selected Globe format guides owner submissions; Disney provides a supplementary Fortune 500 consolidation reference.</w:t>
      </w:r>
    </w:p>
    <w:p>
      <w:r>
        <w:t>The recommendation is selective commercialization under the $0 new external spending constraint. The model is not yet a funded, fully costed launch plan: initial monthly cash needs, incomplete development costs and named Red Alert allocations remain unresolved.</w:t>
      </w:r>
    </w:p>
    <w:tbl>
      <w:tblPr>
        <w:tblW w:type="auto" w:w="0"/>
        <w:jc w:val="center"/>
        <w:tblLayout w:type="fixed"/>
        <w:tblLook w:firstColumn="1" w:firstRow="1" w:lastColumn="0" w:lastRow="0" w:noHBand="0" w:noVBand="1" w:val="04A0"/>
      </w:tblPr>
      <w:tblGrid>
        <w:gridCol w:w="3312"/>
        <w:gridCol w:w="3312"/>
        <w:gridCol w:w="3600"/>
      </w:tblGrid>
      <w:tr>
        <w:trPr>
          <w:tblHeader/>
          <w:cantSplit/>
        </w:trPr>
        <w:tc>
          <w:tcPr>
            <w:tcW w:type="dxa" w:w="331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Model coverage</w:t>
            </w:r>
          </w:p>
        </w:tc>
        <w:tc>
          <w:tcPr>
            <w:tcW w:type="dxa" w:w="331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Financial horizon</w:t>
            </w:r>
          </w:p>
        </w:tc>
        <w:tc>
          <w:tcPr>
            <w:tcW w:type="dxa" w:w="360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Status</w:t>
            </w:r>
          </w:p>
        </w:tc>
      </w:tr>
      <w:tr>
        <w:trPr>
          <w:cantSplit/>
        </w:trPr>
        <w:tc>
          <w:tcPr>
            <w:tcW w:type="dxa" w:w="331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39 reporting families</w:t>
              <w:br/>
              <w:t>128 revenue drivers</w:t>
              <w:br/>
              <w:t>334 catalog records</w:t>
            </w:r>
          </w:p>
        </w:tc>
        <w:tc>
          <w:tcPr>
            <w:tcW w:type="dxa" w:w="331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Years 1–10 planning</w:t>
              <w:br/>
              <w:t>Years 11–20 pro forma</w:t>
              <w:br/>
              <w:t>Years 1–5 presented first</w:t>
            </w:r>
          </w:p>
        </w:tc>
        <w:tc>
          <w:tcPr>
            <w:tcW w:type="dxa" w:w="36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Dot assumptions</w:t>
              <w:br/>
              <w:t>Owner submissions pending</w:t>
              <w:br/>
              <w:t>No approval inferred</w:t>
            </w:r>
          </w:p>
        </w:tc>
      </w:tr>
    </w:tbl>
    <w:p>
      <w:pPr>
        <w:pStyle w:val="Heading2"/>
      </w:pPr>
      <w:r>
        <w:t>How to read this plan</w:t>
      </w:r>
    </w:p>
    <w:p>
      <w:r>
        <w:t>The first section sets strategy and market choices. Operating chapters explain product-family execution. Financial schedules preserve the frozen comparison sales and costs while adding a separately versioned balance sheet and cash flow. Appendices reconcile special products, owner acceptance requirements and source evidence.</w:t>
      </w:r>
    </w:p>
    <w:p>
      <w:r>
        <w:t>All amounts are US dollars unless stated. Model Years are relative planning periods, not audited historical years. Rounded displayed totals can differ by $1 from summed rounded lines.</w:t>
      </w:r>
    </w:p>
    <w:p>
      <w:pPr>
        <w:pStyle w:val="Heading1"/>
        <w:pageBreakBefore/>
      </w:pPr>
      <w:r>
        <w:t>Plan navigation</w:t>
      </w:r>
    </w:p>
    <w:p>
      <w:r>
        <w:t>Strategy and operating plan</w:t>
      </w:r>
    </w:p>
    <w:p>
      <w:pPr>
        <w:tabs>
          <w:tab w:pos="10080" w:val="right" w:leader="dot"/>
        </w:tabs>
      </w:pPr>
      <w:r>
        <w:t>Executive summary</w:t>
        <w:tab/>
        <w:t>3</w:t>
      </w:r>
    </w:p>
    <w:p>
      <w:pPr>
        <w:tabs>
          <w:tab w:pos="10080" w:val="right" w:leader="dot"/>
        </w:tabs>
      </w:pPr>
      <w:r>
        <w:t>Strategy and reference model</w:t>
        <w:tab/>
        <w:t>4</w:t>
      </w:r>
    </w:p>
    <w:p>
      <w:pPr>
        <w:tabs>
          <w:tab w:pos="10080" w:val="right" w:leader="dot"/>
        </w:tabs>
      </w:pPr>
      <w:r>
        <w:t>Portfolio architecture</w:t>
        <w:tab/>
        <w:t>5</w:t>
      </w:r>
    </w:p>
    <w:p>
      <w:pPr>
        <w:tabs>
          <w:tab w:pos="10080" w:val="right" w:leader="dot"/>
        </w:tabs>
      </w:pPr>
      <w:r>
        <w:t>Market and competitive landscape</w:t>
        <w:tab/>
        <w:t>6</w:t>
      </w:r>
    </w:p>
    <w:p>
      <w:pPr>
        <w:tabs>
          <w:tab w:pos="10080" w:val="right" w:leader="dot"/>
        </w:tabs>
      </w:pPr>
      <w:r>
        <w:t>Customer niches and demand validation</w:t>
        <w:tab/>
        <w:t>7</w:t>
      </w:r>
    </w:p>
    <w:p>
      <w:pPr>
        <w:tabs>
          <w:tab w:pos="10080" w:val="right" w:leader="dot"/>
        </w:tabs>
      </w:pPr>
      <w:r>
        <w:t>Professional services and technology strategy</w:t>
        <w:tab/>
        <w:t>8</w:t>
      </w:r>
    </w:p>
    <w:p>
      <w:pPr>
        <w:tabs>
          <w:tab w:pos="10080" w:val="right" w:leader="dot"/>
        </w:tabs>
      </w:pPr>
      <w:r>
        <w:t>Learning Red Alert and games strategy</w:t>
        <w:tab/>
        <w:t>9</w:t>
      </w:r>
    </w:p>
    <w:p>
      <w:pPr>
        <w:tabs>
          <w:tab w:pos="10080" w:val="right" w:leader="dot"/>
        </w:tabs>
      </w:pPr>
      <w:r>
        <w:t>Hospitality services and vertical applications</w:t>
        <w:tab/>
        <w:t>10</w:t>
      </w:r>
    </w:p>
    <w:p>
      <w:pPr>
        <w:tabs>
          <w:tab w:pos="10080" w:val="right" w:leader="dot"/>
        </w:tabs>
      </w:pPr>
      <w:r>
        <w:t>Creative fashion and art strategy</w:t>
        <w:tab/>
        <w:t>11</w:t>
      </w:r>
    </w:p>
    <w:p>
      <w:pPr>
        <w:tabs>
          <w:tab w:pos="10080" w:val="right" w:leader="dot"/>
        </w:tabs>
      </w:pPr>
      <w:r>
        <w:t>Marketing and advertising plan</w:t>
        <w:tab/>
        <w:t>12</w:t>
      </w:r>
    </w:p>
    <w:p>
      <w:pPr>
        <w:tabs>
          <w:tab w:pos="10080" w:val="right" w:leader="dot"/>
        </w:tabs>
      </w:pPr>
      <w:r>
        <w:t>Sales pricing and unit economics</w:t>
        <w:tab/>
        <w:t>13</w:t>
      </w:r>
    </w:p>
    <w:p>
      <w:pPr>
        <w:tabs>
          <w:tab w:pos="10080" w:val="right" w:leader="dot"/>
        </w:tabs>
      </w:pPr>
      <w:r>
        <w:t>Operations resources and delivery capacity</w:t>
        <w:tab/>
        <w:t>14</w:t>
      </w:r>
    </w:p>
    <w:p>
      <w:pPr>
        <w:tabs>
          <w:tab w:pos="10080" w:val="right" w:leader="dot"/>
        </w:tabs>
      </w:pPr>
      <w:r>
        <w:t>Project roadmap and commercialization sequence</w:t>
        <w:tab/>
        <w:t>15</w:t>
      </w:r>
    </w:p>
    <w:p>
      <w:pPr>
        <w:tabs>
          <w:tab w:pos="10080" w:val="right" w:leader="dot"/>
        </w:tabs>
      </w:pPr>
      <w:r>
        <w:t>Governance quality and SUSTAIN 90</w:t>
        <w:tab/>
        <w:t>16</w:t>
      </w:r>
    </w:p>
    <w:p>
      <w:pPr>
        <w:tabs>
          <w:tab w:pos="10080" w:val="right" w:leader="dot"/>
        </w:tabs>
      </w:pPr>
      <w:r>
        <w:t>Risk controls and resilience</w:t>
        <w:tab/>
        <w:t>17</w:t>
      </w:r>
    </w:p>
    <w:p>
      <w:pPr>
        <w:tabs>
          <w:tab w:pos="10080" w:val="right" w:leader="dot"/>
        </w:tabs>
      </w:pPr>
      <w:r>
        <w:t>Financial basis and decision limits</w:t>
        <w:tab/>
        <w:t>18</w:t>
      </w:r>
    </w:p>
    <w:p>
      <w:r>
        <w:t>Financial schedules and supporting evidence</w:t>
      </w:r>
    </w:p>
    <w:p>
      <w:pPr>
        <w:tabs>
          <w:tab w:pos="10080" w:val="right" w:leader="dot"/>
        </w:tabs>
      </w:pPr>
      <w:r>
        <w:t>Financial trajectory and scenario limits</w:t>
        <w:tab/>
        <w:t>19</w:t>
      </w:r>
    </w:p>
    <w:p>
      <w:pPr>
        <w:tabs>
          <w:tab w:pos="10080" w:val="right" w:leader="dot"/>
        </w:tabs>
      </w:pPr>
      <w:r>
        <w:t>Years 1 to 5 statements</w:t>
        <w:tab/>
        <w:t>20</w:t>
      </w:r>
    </w:p>
    <w:p>
      <w:pPr>
        <w:tabs>
          <w:tab w:pos="10080" w:val="right" w:leader="dot"/>
        </w:tabs>
      </w:pPr>
      <w:r>
        <w:t>Financial appendix Years 6 to 10</w:t>
        <w:tab/>
        <w:t>25</w:t>
      </w:r>
    </w:p>
    <w:p>
      <w:pPr>
        <w:tabs>
          <w:tab w:pos="10080" w:val="right" w:leader="dot"/>
        </w:tabs>
      </w:pPr>
      <w:r>
        <w:t>Financial appendix Years 11 to 15</w:t>
        <w:tab/>
        <w:t>30</w:t>
      </w:r>
    </w:p>
    <w:p>
      <w:pPr>
        <w:tabs>
          <w:tab w:pos="10080" w:val="right" w:leader="dot"/>
        </w:tabs>
      </w:pPr>
      <w:r>
        <w:t>Financial appendix Years 16 to 20</w:t>
        <w:tab/>
        <w:t>35</w:t>
      </w:r>
    </w:p>
    <w:p>
      <w:pPr>
        <w:tabs>
          <w:tab w:pos="10080" w:val="right" w:leader="dot"/>
        </w:tabs>
      </w:pPr>
      <w:r>
        <w:t>Accounting assumptions</w:t>
        <w:tab/>
        <w:t>40</w:t>
      </w:r>
    </w:p>
    <w:p>
      <w:pPr>
        <w:tabs>
          <w:tab w:pos="10080" w:val="right" w:leader="dot"/>
        </w:tabs>
      </w:pPr>
      <w:r>
        <w:t>Red Alert Functional Analysis and games coverage</w:t>
        <w:tab/>
        <w:t>41</w:t>
      </w:r>
    </w:p>
    <w:p>
      <w:pPr>
        <w:tabs>
          <w:tab w:pos="10080" w:val="right" w:leader="dot"/>
        </w:tabs>
      </w:pPr>
      <w:r>
        <w:t>Owner business plan acceptance requirements</w:t>
        <w:tab/>
        <w:t>43</w:t>
      </w:r>
    </w:p>
    <w:p>
      <w:pPr>
        <w:tabs>
          <w:tab w:pos="10080" w:val="right" w:leader="dot"/>
        </w:tabs>
      </w:pPr>
      <w:r>
        <w:t>Owner comparison and decision record</w:t>
        <w:tab/>
        <w:t>44</w:t>
      </w:r>
    </w:p>
    <w:p>
      <w:pPr>
        <w:tabs>
          <w:tab w:pos="10080" w:val="right" w:leader="dot"/>
        </w:tabs>
      </w:pPr>
      <w:r>
        <w:t>Sources and evidence provenance</w:t>
        <w:tab/>
        <w:t>45</w:t>
      </w:r>
    </w:p>
    <w:p>
      <w:pPr>
        <w:pStyle w:val="Heading1"/>
        <w:pageBreakBefore/>
      </w:pPr>
      <w:r>
        <w:t>Executive summary</w:t>
      </w:r>
    </w:p>
    <w:p>
      <w:r>
        <w:t>This plan covers Foresixa’s privately owned enterprise portfolio of professional services, learning products, hospitality services, creative businesses and digital applications. The commercial thesis is to earn trust through useful, well-controlled products, then reuse capabilities across brands without confusing their customers, economics or accountability.</w:t>
      </w:r>
    </w:p>
    <w:p>
      <w:r>
        <w:t>The recommended operating strategy is selective commercialization, not simultaneous launch of every concept. Maintain the full portfolio, prioritize offers with demonstrable readiness and positive contribution, and release additional products only when cash, delivery capacity, rights and required reviews support them. The existing $0 external-spending constraint remains controlling. A financial target is not permission to spend or launch.</w:t>
      </w:r>
    </w:p>
    <w:p>
      <w:r>
        <w:t>This plan is Dot's enterprise-level hypothesis for comparison with product owners' business plans and original budgets. Owners remain responsible for their submissions. AF&amp;I's subsequent 20% uplift is a distinct planning exercise, not a replacement for owner budgets. The previously delivered comparison baseline is preserved unchanged; the financial companion adds a separately identified three-statement presentation.</w:t>
      </w:r>
    </w:p>
    <w:p>
      <w:r>
        <w:t>The Base comparison produces Year 1 net revenue of $1,017,953 and net income of $285,425 before paying the modeled founder preparation and coordination allowance. Paying the stated $119,600 allowance reduces modeled net income to $192,534. These are arithmetic outcomes of assumed sales, prices, costs and timing, not validated forecasts. Additional unfinished development remains unquantified and excluded.</w:t>
      </w:r>
    </w:p>
    <w:tbl>
      <w:tblPr>
        <w:tblW w:type="auto" w:w="0"/>
        <w:jc w:val="center"/>
        <w:tblLayout w:type="fixed"/>
        <w:tblLook w:firstColumn="1" w:firstRow="1" w:lastColumn="0" w:lastRow="0" w:noHBand="0" w:noVBand="1" w:val="04A0"/>
      </w:tblPr>
      <w:tblGrid>
        <w:gridCol w:w="2306"/>
        <w:gridCol w:w="7918"/>
      </w:tblGrid>
      <w:tr>
        <w:trPr>
          <w:tblHeader/>
          <w:cantSplit/>
        </w:trPr>
        <w:tc>
          <w:tcPr>
            <w:tcW w:type="dxa" w:w="2306"/>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Decision area</w:t>
            </w:r>
          </w:p>
        </w:tc>
        <w:tc>
          <w:tcPr>
            <w:tcW w:type="dxa" w:w="791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Planning conclusion</w:t>
            </w:r>
          </w:p>
        </w:tc>
      </w:tr>
      <w:tr>
        <w:trPr>
          <w:cantSplit/>
        </w:trPr>
        <w:tc>
          <w:tcPr>
            <w:tcW w:type="dxa" w:w="230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Market entry</w:t>
            </w:r>
          </w:p>
        </w:tc>
        <w:tc>
          <w:tcPr>
            <w:tcW w:type="dxa" w:w="791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Start with bounded customer problems and separately cleared offers. Do not infer demand from the size of the catalog.</w:t>
            </w:r>
          </w:p>
        </w:tc>
      </w:tr>
      <w:tr>
        <w:trPr>
          <w:cantSplit/>
        </w:trPr>
        <w:tc>
          <w:tcPr>
            <w:tcW w:type="dxa" w:w="230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Cash discipline</w:t>
            </w:r>
          </w:p>
        </w:tc>
        <w:tc>
          <w:tcPr>
            <w:tcW w:type="dxa" w:w="791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Unpaid-founder Base needs $25,217 of hypothetical pooled peak cash; the paid-founder case needs $79,094. Neither satisfies the $0-start constraint without sequencing or earned receipts.</w:t>
            </w:r>
          </w:p>
        </w:tc>
      </w:tr>
      <w:tr>
        <w:trPr>
          <w:cantSplit/>
        </w:trPr>
        <w:tc>
          <w:tcPr>
            <w:tcW w:type="dxa" w:w="230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Portfolio coverage</w:t>
            </w:r>
          </w:p>
        </w:tc>
        <w:tc>
          <w:tcPr>
            <w:tcW w:type="dxa" w:w="791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39 reporting families and 128 model driver rows are a starting map, not a certified count of businesses or all sellable products. Red Alert and games require explicit coverage reconciliation.</w:t>
            </w:r>
          </w:p>
        </w:tc>
      </w:tr>
      <w:tr>
        <w:trPr>
          <w:cantSplit/>
        </w:trPr>
        <w:tc>
          <w:tcPr>
            <w:tcW w:type="dxa" w:w="230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Execution accountability</w:t>
            </w:r>
          </w:p>
        </w:tc>
        <w:tc>
          <w:tcPr>
            <w:tcW w:type="dxa" w:w="791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 role named in a charter is not an accepted assignment. Track prepared, sent, received, approved and completed separately.</w:t>
            </w:r>
          </w:p>
        </w:tc>
      </w:tr>
      <w:tr>
        <w:trPr>
          <w:cantSplit/>
        </w:trPr>
        <w:tc>
          <w:tcPr>
            <w:tcW w:type="dxa" w:w="230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Approval requested</w:t>
            </w:r>
          </w:p>
        </w:tc>
        <w:tc>
          <w:tcPr>
            <w:tcW w:type="dxa" w:w="791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Review the strategic choices, assumptions and exclusions. This document does not establish owner, IA, QC, ED or BOD approval.</w:t>
            </w:r>
          </w:p>
        </w:tc>
      </w:tr>
    </w:tbl>
    <w:p>
      <w:pPr>
        <w:pStyle w:val="Heading1"/>
        <w:pageBreakBefore/>
      </w:pPr>
      <w:r>
        <w:t>Strategy and reference model</w:t>
      </w:r>
    </w:p>
    <w:p>
      <w:r>
        <w:t>The enterprise should combine distinct brands with a common operating discipline. A customer buys a specific outcome from a recognizable brand; management sees a consolidated view of economics, cash, risk and capacity.</w:t>
      </w:r>
    </w:p>
    <w:p>
      <w:r>
        <w:t>The owner-selected format is The Globe Hotel, Great Torrington Business Plan, dated 1 May 2025. Its useful structure connects background and governance to individual income streams, costs, staffing, integrated financial forecasts and risk. This consolidated plan adapts that structure to a multi-product enterprise; the owner submission checklist makes the correspondence explicit. Globe is not the Fortune 500 example. [S0]</w:t>
      </w:r>
    </w:p>
    <w:p>
      <w:r>
        <w:t>Disney is the supplementary Fortune 500 consolidation reference. Its 2025 annual report distinguishes business segments and consolidated financial statements; it is not Disney's internal business plan. Foresixa adopts segment accountability and elimination of internal duplication, not Disney's forecasts or margins, and does not copy Globe's funding, tax or depreciation assumptions. [S1-S2]</w:t>
      </w:r>
    </w:p>
    <w:p>
      <w:r>
        <w:t>Foresixa's working niche is a connected set of high-touch, digitally enabled services for independent professionals, learners, creators, hosts and culturally engaged customers. Proposed differentiation comes from design quality, practical instruction, trusted specialist review and coordinated delivery. Those advantages must be demonstrated through paid customer outcomes; they are not established competitive superiority.</w:t>
      </w:r>
    </w:p>
    <w:p>
      <w:r>
        <w:t>Cross-brand coordination is useful where it reduces a real cost or improves an outcome. Semajes may support approved product imagery; ETV may support customer journeys; VraiSkill and LavaLearning may support training. The receiving business must define scope, rights and allocation. Internal work is not additional external revenue. Referral relationships should be visible to customers where relevant, and customer information must not move automatically between brands.</w:t>
      </w:r>
    </w:p>
    <w:tbl>
      <w:tblPr>
        <w:tblW w:type="auto" w:w="0"/>
        <w:jc w:val="center"/>
        <w:tblLayout w:type="fixed"/>
        <w:tblLook w:firstColumn="1" w:firstRow="1" w:lastColumn="0" w:lastRow="0" w:noHBand="0" w:noVBand="1" w:val="04A0"/>
      </w:tblPr>
      <w:tblGrid>
        <w:gridCol w:w="2614"/>
        <w:gridCol w:w="7610"/>
      </w:tblGrid>
      <w:tr>
        <w:trPr>
          <w:tblHeader/>
          <w:cantSplit/>
        </w:trPr>
        <w:tc>
          <w:tcPr>
            <w:tcW w:type="dxa" w:w="261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Enterprise choice</w:t>
            </w:r>
          </w:p>
        </w:tc>
        <w:tc>
          <w:tcPr>
            <w:tcW w:type="dxa" w:w="761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What it means in practice</w:t>
            </w:r>
          </w:p>
        </w:tc>
      </w:tr>
      <w:tr>
        <w:trPr>
          <w:cantSplit/>
        </w:trPr>
        <w:tc>
          <w:tcPr>
            <w:tcW w:type="dxa" w:w="2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Distinct customer brands</w:t>
            </w:r>
          </w:p>
        </w:tc>
        <w:tc>
          <w:tcPr>
            <w:tcW w:type="dxa" w:w="761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Keep product positioning, terms and customer support specific. LavaLearning remains an internal name for the relevant tax-course operations.</w:t>
            </w:r>
          </w:p>
        </w:tc>
      </w:tr>
      <w:tr>
        <w:trPr>
          <w:cantSplit/>
        </w:trPr>
        <w:tc>
          <w:tcPr>
            <w:tcW w:type="dxa" w:w="261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Shared capability</w:t>
            </w:r>
          </w:p>
        </w:tc>
        <w:tc>
          <w:tcPr>
            <w:tcW w:type="dxa" w:w="761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Reuse approved components, design systems and testing knowledge; allocate real incremental costs once.</w:t>
            </w:r>
          </w:p>
        </w:tc>
      </w:tr>
      <w:tr>
        <w:trPr>
          <w:cantSplit/>
        </w:trPr>
        <w:tc>
          <w:tcPr>
            <w:tcW w:type="dxa" w:w="2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Evidence-led expansion</w:t>
            </w:r>
          </w:p>
        </w:tc>
        <w:tc>
          <w:tcPr>
            <w:tcW w:type="dxa" w:w="761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Increase investment only after a release gate, demand signal, contribution check and cash test.</w:t>
            </w:r>
          </w:p>
        </w:tc>
      </w:tr>
      <w:tr>
        <w:trPr>
          <w:cantSplit/>
        </w:trPr>
        <w:tc>
          <w:tcPr>
            <w:tcW w:type="dxa" w:w="261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No invented synergy</w:t>
            </w:r>
          </w:p>
        </w:tc>
        <w:tc>
          <w:tcPr>
            <w:tcW w:type="dxa" w:w="761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Do not count a course included in a subscription again as a standalone sale. Do not treat a department or persona as a paid external offer.</w:t>
            </w:r>
          </w:p>
        </w:tc>
      </w:tr>
      <w:tr>
        <w:trPr>
          <w:cantSplit/>
        </w:trPr>
        <w:tc>
          <w:tcPr>
            <w:tcW w:type="dxa" w:w="2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Accountable consolidation</w:t>
            </w:r>
          </w:p>
        </w:tc>
        <w:tc>
          <w:tcPr>
            <w:tcW w:type="dxa" w:w="761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Maintain owner statements, Dot's comparison and AF&amp;I's uplift as separate versions with reconciled differences.</w:t>
            </w:r>
          </w:p>
        </w:tc>
      </w:tr>
    </w:tbl>
    <w:p>
      <w:pPr>
        <w:pStyle w:val="Heading1"/>
        <w:pageBreakBefore/>
      </w:pPr>
      <w:r>
        <w:t>Portfolio architecture</w:t>
      </w:r>
    </w:p>
    <w:p>
      <w:r>
        <w:t>Seven management segments organize the portfolio for this plan. They are analytical groupings, not declarations of legal entities, tax groups or current operating status.</w:t>
      </w:r>
    </w:p>
    <w:p>
      <w:r>
        <w:t>Tomato Odyssey and S'otality editorial remain visible modeled concepts. Tomato Chronicles, MasterMind, Swifty and Natur-ai-Vox retain their recorded paused treatment. International local-seller expansion, S'otality Liberia feasibility and long-range Fiefé categories are not silently converted into launches. The coverage appendix distinguishes modeled, included, non-revenue, paused and not-yet-allocated items.</w:t>
      </w:r>
    </w:p>
    <w:p>
      <w:r>
        <w:t>A product may appear in the business plan without carrying incremental forecast revenue. That is appropriate when it is included in another offer, remains in research, lacks a commercial specification or has not yet been separately costed. The current financial baseline should not be inflated merely to make the portfolio appear complete.</w:t>
      </w:r>
    </w:p>
    <w:tbl>
      <w:tblPr>
        <w:tblW w:type="auto" w:w="0"/>
        <w:jc w:val="center"/>
        <w:tblLayout w:type="fixed"/>
        <w:tblLook w:firstColumn="1" w:firstRow="1" w:lastColumn="0" w:lastRow="0" w:noHBand="0" w:noVBand="1" w:val="04A0"/>
      </w:tblPr>
      <w:tblGrid>
        <w:gridCol w:w="1922"/>
        <w:gridCol w:w="4766"/>
        <w:gridCol w:w="3536"/>
      </w:tblGrid>
      <w:tr>
        <w:trPr>
          <w:tblHeader/>
          <w:cantSplit/>
        </w:trPr>
        <w:tc>
          <w:tcPr>
            <w:tcW w:type="dxa" w:w="192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Management segment</w:t>
            </w:r>
          </w:p>
        </w:tc>
        <w:tc>
          <w:tcPr>
            <w:tcW w:type="dxa" w:w="4766"/>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Brands and scope</w:t>
            </w:r>
          </w:p>
        </w:tc>
        <w:tc>
          <w:tcPr>
            <w:tcW w:type="dxa" w:w="3536"/>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Economic model</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Professional and technology</w:t>
            </w:r>
          </w:p>
        </w:tc>
        <w:tc>
          <w:tcPr>
            <w:tcW w:type="dxa" w:w="476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BPA; ETV courses and services; internal assistants and technical infrastructure</w:t>
            </w:r>
          </w:p>
        </w:tc>
        <w:tc>
          <w:tcPr>
            <w:tcW w:type="dxa" w:w="353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Engagements, recurring service retainers and discrete learning purchases; internal capabilities are cost lanes.</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Learning and skills</w:t>
            </w:r>
          </w:p>
        </w:tc>
        <w:tc>
          <w:tcPr>
            <w:tcW w:type="dxa" w:w="476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Turbo Tax Made Easy; adult and kids learning; VraiSkill adult/teen; Learn Anglais; brand-specific Model Life learning</w:t>
            </w:r>
          </w:p>
        </w:tc>
        <w:tc>
          <w:tcPr>
            <w:tcW w:type="dxa" w:w="353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Course purchases, bundles, eligible subscriptions and sessions; Red Alert is a priority content format, not automatic extra revenue.</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Hospitality and services</w:t>
            </w:r>
          </w:p>
        </w:tc>
        <w:tc>
          <w:tcPr>
            <w:tcW w:type="dxa" w:w="476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S'otality cleaning, laundry, chefs, interiors, concierge, administration, tours; Is Makes Travel Easy</w:t>
            </w:r>
          </w:p>
        </w:tc>
        <w:tc>
          <w:tcPr>
            <w:tcW w:type="dxa" w:w="353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Service fees, commissions or subscriptions according to the actual contract. Principal-versus-agent treatment must be established.</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Creative media and fashion</w:t>
            </w:r>
          </w:p>
        </w:tc>
        <w:tc>
          <w:tcPr>
            <w:tcW w:type="dxa" w:w="476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Semajes; Sleepy Face; Fiefé and Fiefé Design; QzoticMusic; LesPetitFilms; Dance Of</w:t>
            </w:r>
          </w:p>
        </w:tc>
        <w:tc>
          <w:tcPr>
            <w:tcW w:type="dxa" w:w="353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Shoots, licenses, prints, products and production engagements. Rights, fulfillment and returns are material costs.</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Art and institutional services</w:t>
            </w:r>
          </w:p>
        </w:tc>
        <w:tc>
          <w:tcPr>
            <w:tcW w:type="dxa" w:w="476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OsezArt</w:t>
            </w:r>
          </w:p>
        </w:tc>
        <w:tc>
          <w:tcPr>
            <w:tcW w:type="dxa" w:w="353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Specialist education/advisory and brokerage. Education must remain a genuine service rather than disguised sales.</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Vertical applications</w:t>
            </w:r>
          </w:p>
        </w:tc>
        <w:tc>
          <w:tcPr>
            <w:tcW w:type="dxa" w:w="476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CornerFlow; Spindle; Maison Contour; DishLoom US; Model Life</w:t>
            </w:r>
          </w:p>
        </w:tc>
        <w:tc>
          <w:tcPr>
            <w:tcW w:type="dxa" w:w="353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Merchant, creator or professional subscriptions and scoped add-ons. Network activity and payment volume are not all enterprise revenue.</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Experiments and games</w:t>
            </w:r>
          </w:p>
        </w:tc>
        <w:tc>
          <w:tcPr>
            <w:tcW w:type="dxa" w:w="476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Functional Analysis; independent candy game; FinBot research; editorial concepts and retained pauses</w:t>
            </w:r>
          </w:p>
        </w:tc>
        <w:tc>
          <w:tcPr>
            <w:tcW w:type="dxa" w:w="353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Separate experimental access or content hypotheses, where authorized. No investment gains, scientific validity or licensed manufacturer deal assumed.</w:t>
            </w:r>
          </w:p>
        </w:tc>
      </w:tr>
    </w:tbl>
    <w:p>
      <w:pPr>
        <w:pStyle w:val="Heading1"/>
        <w:pageBreakBefore/>
      </w:pPr>
      <w:r>
        <w:t>Market and competitive landscape</w:t>
      </w:r>
    </w:p>
    <w:p>
      <w:r>
        <w:t>Foresixa operates in several competitive markets, not one homogeneous market. The immediate analysis therefore focuses on specific customer choices and distribution barriers rather than an unsupported enterprise-wide market-size total.</w:t>
      </w:r>
    </w:p>
    <w:p>
      <w:r>
        <w:t>The named alternatives establish competitive categories, not market shares or an exhaustive competitor ranking. Current buyer interviews, win/loss records, willingness-to-pay tests and comparable service quotes have not been supplied. Proposed demand and conversion rates in the budget remain hypotheses.</w:t>
      </w:r>
    </w:p>
    <w:p>
      <w:r>
        <w:t>No total addressable market number is asserted. A defensible serviceable market should be built by geography, buyer type, need frequency, eligible price range and reachable channel, with overlaps removed. Paid conversion and repeat purchase should then determine a supportable obtainable market.</w:t>
      </w:r>
    </w:p>
    <w:tbl>
      <w:tblPr>
        <w:tblW w:type="auto" w:w="0"/>
        <w:jc w:val="center"/>
        <w:tblLayout w:type="fixed"/>
        <w:tblLook w:firstColumn="1" w:firstRow="1" w:lastColumn="0" w:lastRow="0" w:noHBand="0" w:noVBand="1" w:val="04A0"/>
      </w:tblPr>
      <w:tblGrid>
        <w:gridCol w:w="1922"/>
        <w:gridCol w:w="4074"/>
        <w:gridCol w:w="4228"/>
      </w:tblGrid>
      <w:tr>
        <w:trPr>
          <w:tblHeader/>
          <w:cantSplit/>
        </w:trPr>
        <w:tc>
          <w:tcPr>
            <w:tcW w:type="dxa" w:w="192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Market arena</w:t>
            </w:r>
          </w:p>
        </w:tc>
        <w:tc>
          <w:tcPr>
            <w:tcW w:type="dxa" w:w="407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Customer alternatives</w:t>
            </w:r>
          </w:p>
        </w:tc>
        <w:tc>
          <w:tcPr>
            <w:tcW w:type="dxa" w:w="422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Implication for Foresixa</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Practical learning</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Coursera offers business learning; Intuit provides free financial-literacy resources and simulations. [S3-S4]</w:t>
            </w:r>
          </w:p>
        </w:tc>
        <w:tc>
          <w:tcPr>
            <w:tcW w:type="dxa" w:w="422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 paid course must offer a specific outcome, usable practice and support that justifies payment relative to free content.</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Language and games</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Duolingo includes game-based learning such as chess. [S5]</w:t>
            </w:r>
          </w:p>
        </w:tc>
        <w:tc>
          <w:tcPr>
            <w:tcW w:type="dxa" w:w="422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Engagement alone is not differentiation. Test repeat use, learning transfer and age-appropriate design.</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Home services</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Taskrabbit lists recurring and one-time cleaning, rental cleaning and laundry help. [S6]</w:t>
            </w:r>
          </w:p>
        </w:tc>
        <w:tc>
          <w:tcPr>
            <w:tcW w:type="dxa" w:w="422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Compete on a defined service standard, accountable recovery and local reliability, not an unverified claim of universal superiority.</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Creative work</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Independent studios, photographers and production agencies; Adobe supports self-service creative workflows. [S7]</w:t>
            </w:r>
          </w:p>
        </w:tc>
        <w:tc>
          <w:tcPr>
            <w:tcW w:type="dxa" w:w="422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Make the value of art direction, taste, rights management and finished delivery explicit.</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Fashion</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Established luxury houses, independent labels and low-inventory sellers; Printful demonstrates on-demand fulfillment options. [S8]</w:t>
            </w:r>
          </w:p>
        </w:tc>
        <w:tc>
          <w:tcPr>
            <w:tcW w:type="dxa" w:w="422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Validate brand desirability and production quality. On-demand reduces inventory exposure but does not eliminate samples, fees, returns or working capital.</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Art discovery</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Galleries, specialist advisers and Artsy's online marketplace. [S9]</w:t>
            </w:r>
          </w:p>
        </w:tc>
        <w:tc>
          <w:tcPr>
            <w:tcW w:type="dxa" w:w="422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OsezArt should test institutional expertise and trust-led relationships rather than assume platform scale.</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Professional services</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Local CPA/advisory firms, bookkeeping providers and self-service software</w:t>
            </w:r>
          </w:p>
        </w:tc>
        <w:tc>
          <w:tcPr>
            <w:tcW w:type="dxa" w:w="422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BPA's hypothesis is specialist, CPA-controlled work with clear scope. The client should see review accountability, not an unsupported automation guarantee.</w:t>
            </w:r>
          </w:p>
        </w:tc>
      </w:tr>
    </w:tbl>
    <w:p>
      <w:pPr>
        <w:pStyle w:val="Heading1"/>
        <w:pageBreakBefore/>
      </w:pPr>
      <w:r>
        <w:t>Customer niches and demand validation</w:t>
      </w:r>
    </w:p>
    <w:p>
      <w:r>
        <w:t>The first commercial test should be narrow enough to explain who buys, why now, what changes for the buyer and what delivery can be promised.</w:t>
      </w:r>
    </w:p>
    <w:p>
      <w:r>
        <w:t>Suggested early research is five to ten qualified buyer conversations per priority offer and a bounded paid pilot where release gates permit. These are proposed research volumes, not statistical proof of market demand. Record contradictory feedback as carefully as positive feedback. Do not represent an expression of interest as a contract.</w:t>
      </w:r>
    </w:p>
    <w:p>
      <w:r>
        <w:t>The budget's funnel calculations run backward from a target number of purchases to required opportunities. They are useful workload tests, but they do not establish that the opportunity pool exists. Before a target becomes an owner budget, the owner should identify its channel, evidence, sales cycle, win rate and capacity dependence.</w:t>
      </w:r>
    </w:p>
    <w:p>
      <w:r>
        <w:t>Stop or redesign an offer when customers cannot explain its value, when fulfillment costs exceed contribution, or when legal/quality constraints prevent the promised outcome. A narrower offer is preferable to broad, unfunded growth.</w:t>
      </w:r>
    </w:p>
    <w:tbl>
      <w:tblPr>
        <w:tblW w:type="auto" w:w="0"/>
        <w:jc w:val="center"/>
        <w:tblLayout w:type="fixed"/>
        <w:tblLook w:firstColumn="1" w:firstRow="1" w:lastColumn="0" w:lastRow="0" w:noHBand="0" w:noVBand="1" w:val="04A0"/>
      </w:tblPr>
      <w:tblGrid>
        <w:gridCol w:w="3229"/>
        <w:gridCol w:w="3767"/>
        <w:gridCol w:w="3229"/>
      </w:tblGrid>
      <w:tr>
        <w:trPr>
          <w:tblHeader/>
          <w:cantSplit/>
        </w:trPr>
        <w:tc>
          <w:tcPr>
            <w:tcW w:type="dxa" w:w="3229"/>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Initial customer hypothesis</w:t>
            </w:r>
          </w:p>
        </w:tc>
        <w:tc>
          <w:tcPr>
            <w:tcW w:type="dxa" w:w="376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Offer and demand test</w:t>
            </w:r>
          </w:p>
        </w:tc>
        <w:tc>
          <w:tcPr>
            <w:tcW w:type="dxa" w:w="3229"/>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Evidence required to expand</w:t>
            </w:r>
          </w:p>
        </w:tc>
      </w:tr>
      <w:tr>
        <w:trPr>
          <w:cantSplit/>
        </w:trPr>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Small professional firms with intake or workflow friction</w:t>
            </w:r>
          </w:p>
        </w:tc>
        <w:tc>
          <w:tcPr>
            <w:tcW w:type="dxa" w:w="3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ETV scoped site or assistant demonstration; BPA diagnostic where professionally appropriate</w:t>
            </w:r>
          </w:p>
        </w:tc>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Qualified conversations, accepted scope, deposit or paid order, delivery effort and repeat need</w:t>
            </w:r>
          </w:p>
        </w:tc>
      </w:tr>
      <w:tr>
        <w:trPr>
          <w:cantSplit/>
        </w:trPr>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Adults facing a specific tax or skills decision</w:t>
            </w:r>
          </w:p>
        </w:tc>
        <w:tc>
          <w:tcPr>
            <w:tcW w:type="dxa" w:w="3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One clearly bounded course or Red Alert learning path, with an observable exercise</w:t>
            </w:r>
          </w:p>
        </w:tc>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Completion, correct application, refund reason, support burden and willingness to buy again</w:t>
            </w:r>
          </w:p>
        </w:tc>
      </w:tr>
      <w:tr>
        <w:trPr>
          <w:cantSplit/>
        </w:trPr>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Downtown NYC hosts and households</w:t>
            </w:r>
          </w:p>
        </w:tc>
        <w:tc>
          <w:tcPr>
            <w:tcW w:type="dxa" w:w="3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 limited, serviceable S'otality route; Is usability pilot before unsupported paid claims</w:t>
            </w:r>
          </w:p>
        </w:tc>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Provider availability, travel time, first-time completion, complaints and contribution per service</w:t>
            </w:r>
          </w:p>
        </w:tc>
      </w:tr>
      <w:tr>
        <w:trPr>
          <w:cantSplit/>
        </w:trPr>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Creators and small brands</w:t>
            </w:r>
          </w:p>
        </w:tc>
        <w:tc>
          <w:tcPr>
            <w:tcW w:type="dxa" w:w="3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Semajes shoot or licensing brief; bounded ETV or Model Life workflow</w:t>
            </w:r>
          </w:p>
        </w:tc>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Accepted creative brief, rights clearance, turnaround, revision count and repeat booking</w:t>
            </w:r>
          </w:p>
        </w:tc>
      </w:tr>
      <w:tr>
        <w:trPr>
          <w:cantSplit/>
        </w:trPr>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Design-conscious apparel customers</w:t>
            </w:r>
          </w:p>
        </w:tc>
        <w:tc>
          <w:tcPr>
            <w:tcW w:type="dxa" w:w="3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Small approved Sleepy Face assortment with visible production and delivery terms</w:t>
            </w:r>
          </w:p>
        </w:tc>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Fit/quality feedback, paid conversion, return rate, supplier cost and fulfillment reliability</w:t>
            </w:r>
          </w:p>
        </w:tc>
      </w:tr>
      <w:tr>
        <w:trPr>
          <w:cantSplit/>
        </w:trPr>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Museums and cultural institutions</w:t>
            </w:r>
          </w:p>
        </w:tc>
        <w:tc>
          <w:tcPr>
            <w:tcW w:type="dxa" w:w="3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OsezArt needs assessment and a scoped institutional training proposal</w:t>
            </w:r>
          </w:p>
        </w:tc>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Documented need, authorized contact, learning scope, budget owner and separately accepted commercial terms</w:t>
            </w:r>
          </w:p>
        </w:tc>
      </w:tr>
    </w:tbl>
    <w:p>
      <w:pPr>
        <w:pStyle w:val="Heading1"/>
        <w:pageBreakBefore/>
      </w:pPr>
      <w:r>
        <w:t>Professional services and technology strategy</w:t>
      </w:r>
    </w:p>
    <w:p>
      <w:r>
        <w:t>BPA and ETV are potential early cash generators because a well-scoped engagement can connect a known buyer problem with an explicit deliverable. That potential is conditional on professional review, release readiness and customer acceptance.</w:t>
      </w:r>
    </w:p>
    <w:p>
      <w:r>
        <w:t>BPA's plan should distinguish recurring accounting and controller work, virtual CFO services, tax work, diagnostics, internal audit/SOX/IT audit, process advisory, WISP and related projects. Each engagement needs a scope, qualification and review path, estimated hours, responsibilities, fee, acceptance criteria and data-handling requirements. AI assistance does not replace CPA accountability or justify a claim that all work is autonomously processed.</w:t>
      </w:r>
    </w:p>
    <w:p>
      <w:r>
        <w:t>ETV has a recorded public catalog of 20 courses and four service categories. Preserve the settled release rather than reimposing unrelated historical installation holds. The four service categories are site and inquiry journeys, FAQ and workflow bots, operations and controls, and team practice. Quote-led engagements remain quote-led; a modeled average price is not a public fixed-price authorization.</w:t>
      </w:r>
    </w:p>
    <w:p>
      <w:r>
        <w:t>The proposed acquisition route is a narrow demonstration tied to a real operational pain, followed by an explicit discovery and scope decision. The proposed conversion metric is accepted paid engagements divided by qualified proposals, with lost bids and scope changes retained. Delivery margin is assessed after human review, support, hosting and change requests, not just coding time.</w:t>
      </w:r>
    </w:p>
    <w:p>
      <w:r>
        <w:t>The initial target buyer is an owner-managed firm whose inquiries, records or repeatable administration consume scarce time. Position BPA around accountable financial work and ETV around a specific usable workflow—not a generic AI transformation. Acquire through permission-based professional introductions and a working example of the buyer's problem. Retain through predictable service cadence, accepted deliverables and a quarterly review of rework and saved effort; measure renewal and contribution per retained account.</w:t>
      </w:r>
    </w:p>
    <w:tbl>
      <w:tblPr>
        <w:tblW w:type="auto" w:w="0"/>
        <w:jc w:val="center"/>
        <w:tblLayout w:type="fixed"/>
        <w:tblLook w:firstColumn="1" w:firstRow="1" w:lastColumn="0" w:lastRow="0" w:noHBand="0" w:noVBand="1" w:val="04A0"/>
      </w:tblPr>
      <w:tblGrid>
        <w:gridCol w:w="2767"/>
        <w:gridCol w:w="7457"/>
      </w:tblGrid>
      <w:tr>
        <w:trPr>
          <w:tblHeader/>
          <w:cantSplit/>
        </w:trPr>
        <w:tc>
          <w:tcPr>
            <w:tcW w:type="dxa" w:w="276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Operating decision</w:t>
            </w:r>
          </w:p>
        </w:tc>
        <w:tc>
          <w:tcPr>
            <w:tcW w:type="dxa" w:w="745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Required treatment</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Commercial control</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Use existing authorized prices where applicable. Historical price authority must bind to the current edition and scope before collection.</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Quality control</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Separate preparer, reviewer and approval evidence. A passing code test is not a professional opinion or customer acceptance.</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Cross-selling</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Offer a relevant next service only after permission and scope clarity. Do not move sensitive client data across brands by default.</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Internal tooling</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ETV personas, Sovereign Core and Qzotic Command remain internal capability or research unless a distinct external offer is evidenced.</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FinBot</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No trading returns or autonomous investment performance are included as earned business revenue. The modeled information subscription is a conditional, unverified monetization concept.</w:t>
            </w:r>
          </w:p>
        </w:tc>
      </w:tr>
    </w:tbl>
    <w:p>
      <w:pPr>
        <w:pStyle w:val="Heading1"/>
        <w:pageBreakBefore/>
      </w:pPr>
      <w:r>
        <w:t>Learning Red Alert and games strategy</w:t>
      </w:r>
    </w:p>
    <w:p>
      <w:r>
        <w:t>Learning products should be organized by learner need, age, prerequisite and measurable outcome. The course count is a production inventory, not a customer forecast.</w:t>
      </w:r>
    </w:p>
    <w:p>
      <w:r>
        <w:t>Turbo Tax Made Easy, LavaLearning adult/kids, VraiSkill adult/teen and Learn Anglais retain separate customer propositions. Model Life learning may be a brand-specific component of another offer; included modules must not be sold twice in consolidated revenue. Red Alert courses should have an explicit trigger, defined audience, short actionable learning objective, scenario, assessment and dated content owner.</w:t>
      </w:r>
    </w:p>
    <w:p>
      <w:r>
        <w:t>Red Alert is currently represented within pooled learning assumptions, not as a fully quantified course-by-course sales and cost schedule. The new coverage appendix records named items and gaps. The frozen baseline is not changed to invent revenue for every Red Alert label. Future allocation should reconcile named releases to the existing family total or be presented as a separately versioned addition.</w:t>
      </w:r>
    </w:p>
    <w:p>
      <w:r>
        <w:t>Functional Analysis is modeled through two conditional offers: personal reflection and facilitated reflection/export. Position it as entertainment and personal reflection, not validated neuroscience, diagnosis or clinical guidance. An AI concierge must preserve that boundary and must not infer health status from user responses.</w:t>
      </w:r>
    </w:p>
    <w:p>
      <w:r>
        <w:t>The independent candy game is a modeled access hypothesis. Games embedded in learning products are product functionality unless separately licensed or sold. Manufacturer-branded candy concepts require appropriate rights and commercial agreements; no such transaction is assumed. Paused games remain visible and paused.</w:t>
      </w:r>
    </w:p>
    <w:p>
      <w:r>
        <w:t>For time-constrained adults, lead with a narrow practical skill and an observable completed task. For teens and children, offer age-appropriate practice with a clearly identified parent, school or learner purchase decision. Tax education must add guided application beyond free alternatives, not merely repeat public information. Use sample lessons, trusted professional referrals and consent-based educator outreach. Measure assessed mastery, completion, repeat paid enrollment and refund reasons separately. Language learning should emphasize supported conversation, while game mechanics serve practice rather than unsupported cognitive-benefit claims.</w:t>
      </w:r>
    </w:p>
    <w:tbl>
      <w:tblPr>
        <w:tblW w:type="auto" w:w="0"/>
        <w:jc w:val="center"/>
        <w:tblLayout w:type="fixed"/>
        <w:tblLook w:firstColumn="1" w:firstRow="1" w:lastColumn="0" w:lastRow="0" w:noHBand="0" w:noVBand="1" w:val="04A0"/>
      </w:tblPr>
      <w:tblGrid>
        <w:gridCol w:w="2614"/>
        <w:gridCol w:w="7610"/>
      </w:tblGrid>
      <w:tr>
        <w:trPr>
          <w:tblHeader/>
          <w:cantSplit/>
        </w:trPr>
        <w:tc>
          <w:tcPr>
            <w:tcW w:type="dxa" w:w="261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Release test</w:t>
            </w:r>
          </w:p>
        </w:tc>
        <w:tc>
          <w:tcPr>
            <w:tcW w:type="dxa" w:w="761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Planning evidence</w:t>
            </w:r>
          </w:p>
        </w:tc>
      </w:tr>
      <w:tr>
        <w:trPr>
          <w:cantSplit/>
        </w:trPr>
        <w:tc>
          <w:tcPr>
            <w:tcW w:type="dxa" w:w="2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Teaching quality</w:t>
            </w:r>
          </w:p>
        </w:tc>
        <w:tc>
          <w:tcPr>
            <w:tcW w:type="dxa" w:w="761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Measure task performance before and after the lesson, not only clicks, time spent or satisfaction.</w:t>
            </w:r>
          </w:p>
        </w:tc>
      </w:tr>
      <w:tr>
        <w:trPr>
          <w:cantSplit/>
        </w:trPr>
        <w:tc>
          <w:tcPr>
            <w:tcW w:type="dxa" w:w="261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Content accuracy</w:t>
            </w:r>
          </w:p>
        </w:tc>
        <w:tc>
          <w:tcPr>
            <w:tcW w:type="dxa" w:w="761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Use a dated source register, specialist review and regression testing when facts change.</w:t>
            </w:r>
          </w:p>
        </w:tc>
      </w:tr>
      <w:tr>
        <w:trPr>
          <w:cantSplit/>
        </w:trPr>
        <w:tc>
          <w:tcPr>
            <w:tcW w:type="dxa" w:w="2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Child safety</w:t>
            </w:r>
          </w:p>
        </w:tc>
        <w:tc>
          <w:tcPr>
            <w:tcW w:type="dxa" w:w="761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Keep adult and child journeys distinct; establish applicable consent, data minimization and content controls before release.</w:t>
            </w:r>
          </w:p>
        </w:tc>
      </w:tr>
      <w:tr>
        <w:trPr>
          <w:cantSplit/>
        </w:trPr>
        <w:tc>
          <w:tcPr>
            <w:tcW w:type="dxa" w:w="261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Economics</w:t>
            </w:r>
          </w:p>
        </w:tc>
        <w:tc>
          <w:tcPr>
            <w:tcW w:type="dxa" w:w="761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Record price, paid learners, free trials, refunds, support minutes and production/update cost separately.</w:t>
            </w:r>
          </w:p>
        </w:tc>
      </w:tr>
      <w:tr>
        <w:trPr>
          <w:cantSplit/>
        </w:trPr>
        <w:tc>
          <w:tcPr>
            <w:tcW w:type="dxa" w:w="2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Retention</w:t>
            </w:r>
          </w:p>
        </w:tc>
        <w:tc>
          <w:tcPr>
            <w:tcW w:type="dxa" w:w="761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Track cohort repeat use and later application. Do not equate a return visit with proven learning transfer.</w:t>
            </w:r>
          </w:p>
        </w:tc>
      </w:tr>
    </w:tbl>
    <w:p>
      <w:pPr>
        <w:pStyle w:val="Heading1"/>
        <w:pageBreakBefore/>
      </w:pPr>
      <w:r>
        <w:t>Hospitality services and vertical applications</w:t>
      </w:r>
    </w:p>
    <w:p>
      <w:r>
        <w:t>S'otality and Is should solve different but adjacent problems. S'otality coordinates physical services; Is helps the travel and host experience. Their contracts, costs and data must reflect that distinction.</w:t>
      </w:r>
    </w:p>
    <w:p>
      <w:r>
        <w:t>The S'otality service portfolio includes cleaning, laundry, personal chefs, interior services, concierge, administrative support and Downtown Bike Tour activity. A practical entry point is a geographically bounded route with verified providers, service specifications, travel windows and recovery procedures. The mandatory uniform requirement must be reconciled with the selected worker model; a cost model cannot decide legal classification.</w:t>
      </w:r>
    </w:p>
    <w:p>
      <w:r>
        <w:t>Is should demonstrate reliable guest/host workflows and usability before a paid proposition is treated as ready. Free beta participation is not evidence of paid demand. Any professional subscription, bidding fee, advertising or transaction commission needs a defined payer and measurable value. Booking volume and provider pass-through are not automatically Foresixa revenue.</w:t>
      </w:r>
    </w:p>
    <w:p>
      <w:r>
        <w:t>CornerFlow, Spindle, Maison Contour and DishLoom US are distinct vertical-application hypotheses. Each should prove one repeatable merchant workflow before adding many features. A subscription requires continued service value, support and retention evidence; an onboarding fee requires a separately delivered service. US-first DishLoom scope should not be replaced by an unsupported international launch assumption.</w:t>
      </w:r>
    </w:p>
    <w:p>
      <w:r>
        <w:t>Model Life combines professional workflow, portfolio and training functions. Atelier assistance and learning modules are included features unless a separate commercial edition is evidenced. A reported build or private deployment is not a completed tour review, accepted beta or paid launch.</w:t>
      </w:r>
    </w:p>
    <w:p>
      <w:r>
        <w:t>For recurring property-service customers, the pain is unreliable handoffs and inconsistent standards; the proposed offer is a documented local service with an accountable recovery path. Acquire through direct host/property-manager relationships in a bounded area, not unmeasured broad advertising. Track repeat bookings, on-time completion, first-pass acceptance and route contribution. For vertical applications, target one operator persona and one costly recurring workflow; retain only if task completion, active paid use and support load demonstrate continuing value.</w:t>
      </w:r>
    </w:p>
    <w:tbl>
      <w:tblPr>
        <w:tblW w:type="auto" w:w="0"/>
        <w:jc w:val="center"/>
        <w:tblLayout w:type="fixed"/>
        <w:tblLook w:firstColumn="1" w:firstRow="1" w:lastColumn="0" w:lastRow="0" w:noHBand="0" w:noVBand="1" w:val="04A0"/>
      </w:tblPr>
      <w:tblGrid>
        <w:gridCol w:w="2767"/>
        <w:gridCol w:w="7457"/>
      </w:tblGrid>
      <w:tr>
        <w:trPr>
          <w:tblHeader/>
          <w:cantSplit/>
        </w:trPr>
        <w:tc>
          <w:tcPr>
            <w:tcW w:type="dxa" w:w="276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Service economics</w:t>
            </w:r>
          </w:p>
        </w:tc>
        <w:tc>
          <w:tcPr>
            <w:tcW w:type="dxa" w:w="745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Control</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Provider cost</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Obtain service-specific rates, required qualifications, coverage and cancellation terms. Do not substitute national employee wages for provider quotes.</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Principal versus agent</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Determine who promises the service, controls fulfillment and bears risk; document gross versus net revenue treatment.</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Local capacity</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Model travel, preparation, service time and rework. A cash payout does not establish available provider hours.</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Customer recovery</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Budget for refunds, rescheduling, complaints and failed service recovery; track resolution and recurrence.</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Expansion</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Add locations only after route contribution and repeat demand are demonstrated; preserve feasibility concepts without declaring them active.</w:t>
            </w:r>
          </w:p>
        </w:tc>
      </w:tr>
    </w:tbl>
    <w:p>
      <w:pPr>
        <w:pStyle w:val="Heading1"/>
        <w:pageBreakBefore/>
      </w:pPr>
      <w:r>
        <w:t>Creative fashion and art strategy</w:t>
      </w:r>
    </w:p>
    <w:p>
      <w:r>
        <w:t>Creative brands should monetize distinctive work while protecting quality, rights and delivery reliability. A premium presentation must be supported by a premium product and a clear customer experience.</w:t>
      </w:r>
    </w:p>
    <w:p>
      <w:r>
        <w:t>Semajes should distinguish commissioned shoots, licensing, prints/framing, marketplace services, premium media and courses. Its working position is fashion, art, culture and lifestyle with a recognizable artistic voice. Contracts should define usage, geography, duration, credits, revisions, delivery and ownership. Printing or framing margin must include production, damage, shipping and remake risk.</w:t>
      </w:r>
    </w:p>
    <w:p>
      <w:r>
        <w:t>Sleepy Face's comparison hypothesis is a curated premium assortment, not an inventory-heavy launch. Samples, sizing, fabric quality, supplier terms, returns and delivery accuracy are prerequisites for the promised positioning. An on-demand supplier may reduce stockholding but does not remove cash timing or product-quality responsibility. Fiefé and Fiefé Design should retain distinct long-term brand concepts without assuming undefined jewelry, watches, fragrance or physical locations are ready offers.</w:t>
      </w:r>
    </w:p>
    <w:p>
      <w:r>
        <w:t>LesPetitFilms and QzoticMusic require documented rights for footage, performances, music and commercial distribution. Dance Of is a production project within the film business, not a separate assumed licensing sale. Proof clips and synthetic tests should not be called a finished production. The operating plan should specify the approved version, remaining creative work, quality gates and distribution rights.</w:t>
      </w:r>
    </w:p>
    <w:p>
      <w:r>
        <w:t>OsezArt should lead with specialist institutional education and advisory where a documented need exists, with brokerage handled transparently as a separate commercial service. Curation and provenance work must not be reduced to decorative marketing. Research, education and sales should have distinct objectives, contracts and conflict disclosures.</w:t>
      </w:r>
    </w:p>
    <w:p>
      <w:r>
        <w:t>Target commissioned creative work at buyers who need a distinctive, rights-clear deliverable, not the broad population of social-media viewers. Use a curated portfolio and a small number of relevant direct pitches; track proposal-to-booking, revision hours, repeat clients and contribution per commission. For fashion, validate one coherent assortment with fit and delivery evidence before breadth. For institutional art learning, approach a named education or programming decision-maker with a scoped outcome; measure repeat mandates and evaluated learning rather than impressions.</w:t>
      </w:r>
    </w:p>
    <w:tbl>
      <w:tblPr>
        <w:tblW w:type="auto" w:w="0"/>
        <w:jc w:val="center"/>
        <w:tblLayout w:type="fixed"/>
        <w:tblLook w:firstColumn="1" w:firstRow="1" w:lastColumn="0" w:lastRow="0" w:noHBand="0" w:noVBand="1" w:val="04A0"/>
      </w:tblPr>
      <w:tblGrid>
        <w:gridCol w:w="3152"/>
        <w:gridCol w:w="7072"/>
      </w:tblGrid>
      <w:tr>
        <w:trPr>
          <w:tblHeader/>
          <w:cantSplit/>
        </w:trPr>
        <w:tc>
          <w:tcPr>
            <w:tcW w:type="dxa" w:w="315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Commercial hypothesis</w:t>
            </w:r>
          </w:p>
        </w:tc>
        <w:tc>
          <w:tcPr>
            <w:tcW w:type="dxa" w:w="707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Proof before scale</w:t>
            </w:r>
          </w:p>
        </w:tc>
      </w:tr>
      <w:tr>
        <w:trPr>
          <w:cantSplit/>
        </w:trPr>
        <w:tc>
          <w:tcPr>
            <w:tcW w:type="dxa" w:w="315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Aesthetic differentiation earns pricing power</w:t>
            </w:r>
          </w:p>
        </w:tc>
        <w:tc>
          <w:tcPr>
            <w:tcW w:type="dxa" w:w="707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Paid briefs, repeat orders, customer feedback, return reasons and price acceptance</w:t>
            </w:r>
          </w:p>
        </w:tc>
      </w:tr>
      <w:tr>
        <w:trPr>
          <w:cantSplit/>
        </w:trPr>
        <w:tc>
          <w:tcPr>
            <w:tcW w:type="dxa" w:w="315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Reusable creative assets reduce cost</w:t>
            </w:r>
          </w:p>
        </w:tc>
        <w:tc>
          <w:tcPr>
            <w:tcW w:type="dxa" w:w="707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Verified rights, approved templates and actual production-time savings without quality loss</w:t>
            </w:r>
          </w:p>
        </w:tc>
      </w:tr>
      <w:tr>
        <w:trPr>
          <w:cantSplit/>
        </w:trPr>
        <w:tc>
          <w:tcPr>
            <w:tcW w:type="dxa" w:w="315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Institutional trust creates advisory demand</w:t>
            </w:r>
          </w:p>
        </w:tc>
        <w:tc>
          <w:tcPr>
            <w:tcW w:type="dxa" w:w="707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 named decision-maker, scoped need, funded mandate and evaluated learning outcome</w:t>
            </w:r>
          </w:p>
        </w:tc>
      </w:tr>
      <w:tr>
        <w:trPr>
          <w:cantSplit/>
        </w:trPr>
        <w:tc>
          <w:tcPr>
            <w:tcW w:type="dxa" w:w="315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Media supports discovery</w:t>
            </w:r>
          </w:p>
        </w:tc>
        <w:tc>
          <w:tcPr>
            <w:tcW w:type="dxa" w:w="707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Attributable engagement and conversion; no unlicensed commercial distribution or assumed platform consent</w:t>
            </w:r>
          </w:p>
        </w:tc>
      </w:tr>
    </w:tbl>
    <w:p>
      <w:pPr>
        <w:pStyle w:val="Heading1"/>
        <w:pageBreakBefore/>
      </w:pPr>
      <w:r>
        <w:t>Marketing and advertising plan</w:t>
      </w:r>
    </w:p>
    <w:p>
      <w:r>
        <w:t>The proposed first-stage marketing program is evidence-producing and receipts-funded. It should establish which message, audience and channel create profitable customers before advertising spend expands.</w:t>
      </w:r>
    </w:p>
    <w:p>
      <w:r>
        <w:t>Use owned channels first: product demonstrations, sample lessons, approved portfolios, useful articles, targeted outreach and relevant professional or community partnerships. Do not invent an existing audience or treat the founder's network as a committed pipeline. Every campaign needs a target buyer, pain point, offer, landing page, consent-compliant follow-up, measured outcome and accountable owner.</w:t>
      </w:r>
    </w:p>
    <w:p>
      <w:r>
        <w:t>Red Alert content can provide a timely entry point where the urgency is real and responsibly described. Avoid fear-based claims, unverified deadlines or misleading professional outcomes. A free lesson should have a clear value of its own; paid follow-on products should state precisely what they add. Child-facing communications require a separate review path.</w:t>
      </w:r>
    </w:p>
    <w:p>
      <w:r>
        <w:t>The comparison budget includes a variable marketing allowance by product and shared human campaign support. Those are spending sensitivities, not approved cash outlays. Under the $0 policy, campaigns requiring payment remain contingent on earned receipts and an authorized operating decision. Revenue targets are not increased simply because an advertising allowance appears in a spreadsheet.</w:t>
      </w:r>
    </w:p>
    <w:p>
      <w:r>
        <w:t>The existing Year 1 model carries approximately $48,844 of variable marketing and $7,680 of shared campaign labor (16 hours monthly at $40). These are already included in the comparison, not new incremental requests. A proposed control allocation uses the first 30 days to instrument existing channels and test positioning; days 31–60 to compare qualified leads and proposals; days 61–90 to improve conversion and retention. Any paid campaign draws from an authorized portion of the existing allowance only after cash is earned. The campaign owner must reconcile actual expenditure, attributed contribution and unused allowance monthly; no fixed spend calendar overrides the $0 constraint.</w:t>
      </w:r>
    </w:p>
    <w:tbl>
      <w:tblPr>
        <w:tblW w:type="auto" w:w="0"/>
        <w:jc w:val="center"/>
        <w:tblLayout w:type="fixed"/>
        <w:tblLook w:firstColumn="1" w:firstRow="1" w:lastColumn="0" w:lastRow="0" w:noHBand="0" w:noVBand="1" w:val="04A0"/>
      </w:tblPr>
      <w:tblGrid>
        <w:gridCol w:w="1614"/>
        <w:gridCol w:w="4843"/>
        <w:gridCol w:w="3767"/>
      </w:tblGrid>
      <w:tr>
        <w:trPr>
          <w:tblHeader/>
          <w:cantSplit/>
        </w:trPr>
        <w:tc>
          <w:tcPr>
            <w:tcW w:type="dxa" w:w="161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Stage</w:t>
            </w:r>
          </w:p>
        </w:tc>
        <w:tc>
          <w:tcPr>
            <w:tcW w:type="dxa" w:w="4843"/>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Channel and test</w:t>
            </w:r>
          </w:p>
        </w:tc>
        <w:tc>
          <w:tcPr>
            <w:tcW w:type="dxa" w:w="376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Decision rule</w:t>
            </w:r>
          </w:p>
        </w:tc>
      </w:tr>
      <w:tr>
        <w:trPr>
          <w:cantSplit/>
        </w:trPr>
        <w:tc>
          <w:tcPr>
            <w:tcW w:type="dxa" w:w="1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Discovery</w:t>
            </w:r>
          </w:p>
        </w:tc>
        <w:tc>
          <w:tcPr>
            <w:tcW w:type="dxa" w:w="484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Two or three message variants for one defined audience using existing channels</w:t>
            </w:r>
          </w:p>
        </w:tc>
        <w:tc>
          <w:tcPr>
            <w:tcW w:type="dxa" w:w="3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Retain evidence of qualified interest, not impressions alone</w:t>
            </w:r>
          </w:p>
        </w:tc>
      </w:tr>
      <w:tr>
        <w:trPr>
          <w:cantSplit/>
        </w:trPr>
        <w:tc>
          <w:tcPr>
            <w:tcW w:type="dxa" w:w="161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Conversion</w:t>
            </w:r>
          </w:p>
        </w:tc>
        <w:tc>
          <w:tcPr>
            <w:tcW w:type="dxa" w:w="484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One clear offer and a traceable source-to-order path</w:t>
            </w:r>
          </w:p>
        </w:tc>
        <w:tc>
          <w:tcPr>
            <w:tcW w:type="dxa" w:w="3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Compare net contribution and support burden by source</w:t>
            </w:r>
          </w:p>
        </w:tc>
      </w:tr>
      <w:tr>
        <w:trPr>
          <w:cantSplit/>
        </w:trPr>
        <w:tc>
          <w:tcPr>
            <w:tcW w:type="dxa" w:w="1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Retention</w:t>
            </w:r>
          </w:p>
        </w:tc>
        <w:tc>
          <w:tcPr>
            <w:tcW w:type="dxa" w:w="484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Useful onboarding, completion prompts, service follow-up and relevant renewal</w:t>
            </w:r>
          </w:p>
        </w:tc>
        <w:tc>
          <w:tcPr>
            <w:tcW w:type="dxa" w:w="3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Measure repeat purchase and reason for churn by cohort</w:t>
            </w:r>
          </w:p>
        </w:tc>
      </w:tr>
      <w:tr>
        <w:trPr>
          <w:cantSplit/>
        </w:trPr>
        <w:tc>
          <w:tcPr>
            <w:tcW w:type="dxa" w:w="161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Paid expansion</w:t>
            </w:r>
          </w:p>
        </w:tc>
        <w:tc>
          <w:tcPr>
            <w:tcW w:type="dxa" w:w="484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 small, separately authorized campaign funded from available receipts</w:t>
            </w:r>
          </w:p>
        </w:tc>
        <w:tc>
          <w:tcPr>
            <w:tcW w:type="dxa" w:w="3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Scale only if attributable contribution supports acquisition cost and cash timing</w:t>
            </w:r>
          </w:p>
        </w:tc>
      </w:tr>
      <w:tr>
        <w:trPr>
          <w:cantSplit/>
        </w:trPr>
        <w:tc>
          <w:tcPr>
            <w:tcW w:type="dxa" w:w="161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Creative control</w:t>
            </w:r>
          </w:p>
        </w:tc>
        <w:tc>
          <w:tcPr>
            <w:tcW w:type="dxa" w:w="484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Communications, CD, Design and Creative Studio provide scoped work</w:t>
            </w:r>
          </w:p>
        </w:tc>
        <w:tc>
          <w:tcPr>
            <w:tcW w:type="dxa" w:w="3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Record accepted responsibilities and review receipts; do not assume continuous staffing</w:t>
            </w:r>
          </w:p>
        </w:tc>
      </w:tr>
    </w:tbl>
    <w:p>
      <w:pPr>
        <w:pStyle w:val="Heading1"/>
        <w:pageBreakBefore/>
      </w:pPr>
      <w:r>
        <w:t>Sales pricing and unit economics</w:t>
      </w:r>
    </w:p>
    <w:p>
      <w:r>
        <w:t>Sales planning starts with a price, a buyer, a reachable channel and a deliverable. It should distinguish pipeline activity from recognized revenue and cash collection.</w:t>
      </w:r>
    </w:p>
    <w:p>
      <w:r>
        <w:t>For project services, use a qualified opportunity, discovery, scoped proposal, acceptance, delivery and collection sequence. For courses and products, use a product-page visit, eligible checkout, paid order, delivery, usage and retention sequence. The same buyer may make multiple purchases; do not multiply customer counts by course count or language variants.</w:t>
      </w:r>
    </w:p>
    <w:p>
      <w:r>
        <w:t>Pricing should reflect value, alternatives, direct cost, support, capacity and downside risk. Preserve authorized current launch prices where they apply. New hypothetical averages remain comparison assumptions; they must not be published as approved offers. The enterprise pricing record should retain source, edition, effective date, currency, tax presentation, refund policy and approving authority.</w:t>
      </w:r>
    </w:p>
    <w:p>
      <w:r>
        <w:t>AF&amp;I's 20% uplift should be a separate target case applied to completed owner projections and budgets. It is not a blanket 20% increase to every cost, liability or balance-sheet asset. Delivery costs, acquisition workload, working capital and capacity must be recalculated from the revised operating drivers.</w:t>
      </w:r>
    </w:p>
    <w:tbl>
      <w:tblPr>
        <w:tblW w:type="auto" w:w="0"/>
        <w:jc w:val="center"/>
        <w:tblLayout w:type="fixed"/>
        <w:tblLook w:firstColumn="1" w:firstRow="1" w:lastColumn="0" w:lastRow="0" w:noHBand="0" w:noVBand="1" w:val="04A0"/>
      </w:tblPr>
      <w:tblGrid>
        <w:gridCol w:w="3152"/>
        <w:gridCol w:w="7072"/>
      </w:tblGrid>
      <w:tr>
        <w:trPr>
          <w:tblHeader/>
          <w:cantSplit/>
        </w:trPr>
        <w:tc>
          <w:tcPr>
            <w:tcW w:type="dxa" w:w="315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Metric</w:t>
            </w:r>
          </w:p>
        </w:tc>
        <w:tc>
          <w:tcPr>
            <w:tcW w:type="dxa" w:w="707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Definition and use</w:t>
            </w:r>
          </w:p>
        </w:tc>
      </w:tr>
      <w:tr>
        <w:trPr>
          <w:cantSplit/>
        </w:trPr>
        <w:tc>
          <w:tcPr>
            <w:tcW w:type="dxa" w:w="315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Net contribution</w:t>
            </w:r>
          </w:p>
        </w:tc>
        <w:tc>
          <w:tcPr>
            <w:tcW w:type="dxa" w:w="707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Net revenue less direct fulfillment, provider cost, processing, variable acquisition and support</w:t>
            </w:r>
          </w:p>
        </w:tc>
      </w:tr>
      <w:tr>
        <w:trPr>
          <w:cantSplit/>
        </w:trPr>
        <w:tc>
          <w:tcPr>
            <w:tcW w:type="dxa" w:w="315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Break-even volume</w:t>
            </w:r>
          </w:p>
        </w:tc>
        <w:tc>
          <w:tcPr>
            <w:tcW w:type="dxa" w:w="707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Fixed cost divided by positive contribution per unit; identify nonpositive contribution rather than hide it</w:t>
            </w:r>
          </w:p>
        </w:tc>
      </w:tr>
      <w:tr>
        <w:trPr>
          <w:cantSplit/>
        </w:trPr>
        <w:tc>
          <w:tcPr>
            <w:tcW w:type="dxa" w:w="315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Acquisition cost</w:t>
            </w:r>
          </w:p>
        </w:tc>
        <w:tc>
          <w:tcPr>
            <w:tcW w:type="dxa" w:w="707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Attributable acquisition cash and labor divided by acquired customers; separate paid and organic effort</w:t>
            </w:r>
          </w:p>
        </w:tc>
      </w:tr>
      <w:tr>
        <w:trPr>
          <w:cantSplit/>
        </w:trPr>
        <w:tc>
          <w:tcPr>
            <w:tcW w:type="dxa" w:w="315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Payback</w:t>
            </w:r>
          </w:p>
        </w:tc>
        <w:tc>
          <w:tcPr>
            <w:tcW w:type="dxa" w:w="707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Time for realized contribution to recover acquisition and setup cost, with cash timing visible</w:t>
            </w:r>
          </w:p>
        </w:tc>
      </w:tr>
      <w:tr>
        <w:trPr>
          <w:cantSplit/>
        </w:trPr>
        <w:tc>
          <w:tcPr>
            <w:tcW w:type="dxa" w:w="315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Capacity yield</w:t>
            </w:r>
          </w:p>
        </w:tc>
        <w:tc>
          <w:tcPr>
            <w:tcW w:type="dxa" w:w="707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Contribution per scarce qualified delivery hour, including review and rework</w:t>
            </w:r>
          </w:p>
        </w:tc>
      </w:tr>
      <w:tr>
        <w:trPr>
          <w:cantSplit/>
        </w:trPr>
        <w:tc>
          <w:tcPr>
            <w:tcW w:type="dxa" w:w="315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Conversion and retention</w:t>
            </w:r>
          </w:p>
        </w:tc>
        <w:tc>
          <w:tcPr>
            <w:tcW w:type="dxa" w:w="707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Stage-specific accepted purchases and cohort repeat activity with denominators and exclusions</w:t>
            </w:r>
          </w:p>
        </w:tc>
      </w:tr>
      <w:tr>
        <w:trPr>
          <w:cantSplit/>
        </w:trPr>
        <w:tc>
          <w:tcPr>
            <w:tcW w:type="dxa" w:w="315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Downside exposure</w:t>
            </w:r>
          </w:p>
        </w:tc>
        <w:tc>
          <w:tcPr>
            <w:tcW w:type="dxa" w:w="707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Refunds, failed fulfillment, price discounting, supplier changes and demand shortfalls</w:t>
            </w:r>
          </w:p>
        </w:tc>
      </w:tr>
    </w:tbl>
    <w:p>
      <w:pPr>
        <w:pStyle w:val="Heading1"/>
        <w:pageBreakBefore/>
      </w:pPr>
      <w:r>
        <w:t>Operations resources and delivery capacity</w:t>
      </w:r>
    </w:p>
    <w:p>
      <w:r>
        <w:t>The enterprise must coordinate work without treating AI roles, chat names or planned departments as accepted human capacity. Available tools and draft charters are not proof that a function is operating continuously.</w:t>
      </w:r>
    </w:p>
    <w:p>
      <w:r>
        <w:t>Each product owner should maintain the current version, scope, open defects, review evidence, customer promise, cost drivers and release decision. The Manager coordinates dependencies; the Assistant Manager tracks follow-through and receipts; VP resolves resource conflicts; ED executes approved direction. Board oversight and IA independence remain distinct from delivery management.</w:t>
      </w:r>
    </w:p>
    <w:p>
      <w:r>
        <w:t>In the Base comparison, modeled Year 1 direct delivery/support requires approximately 6,976 paid hours, plus 1,104 shared specialist hours. That totals about 8,080 quantified hours, or 5.05 illustrative equivalents at 1,600 productive hours per person. This is a demand for resources, not evidence those resources are hired or available. Outsourced-provider hours remain unquantified even where cash payouts are modeled.</w:t>
      </w:r>
    </w:p>
    <w:p>
      <w:r>
        <w:t>The budget also assumes 1,624 preparation hours and 960 coordination hours supplied without cash payment in the Base case. The separately paid sensitivity costs that stated allowance. Neither includes every remaining application build, course completion task, supplier negotiation or production revision. A complete resource plan must resolve these omissions before a fully funded launch plan can be claimed.</w:t>
      </w:r>
    </w:p>
    <w:tbl>
      <w:tblPr>
        <w:tblW w:type="auto" w:w="0"/>
        <w:jc w:val="center"/>
        <w:tblLayout w:type="fixed"/>
        <w:tblLook w:firstColumn="1" w:firstRow="1" w:lastColumn="0" w:lastRow="0" w:noHBand="0" w:noVBand="1" w:val="04A0"/>
      </w:tblPr>
      <w:tblGrid>
        <w:gridCol w:w="2921"/>
        <w:gridCol w:w="7303"/>
      </w:tblGrid>
      <w:tr>
        <w:trPr>
          <w:tblHeader/>
          <w:cantSplit/>
        </w:trPr>
        <w:tc>
          <w:tcPr>
            <w:tcW w:type="dxa" w:w="2921"/>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Resource control</w:t>
            </w:r>
          </w:p>
        </w:tc>
        <w:tc>
          <w:tcPr>
            <w:tcW w:type="dxa" w:w="7303"/>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Required evidence</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Named responsibility</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Actual owner and backup acceptance, not merely a department label</w:t>
            </w:r>
          </w:p>
        </w:tc>
      </w:tr>
      <w:tr>
        <w:trPr>
          <w:cantSplit/>
        </w:trPr>
        <w:tc>
          <w:tcPr>
            <w:tcW w:type="dxa" w:w="2921"/>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Capacity commitment</w:t>
            </w:r>
          </w:p>
        </w:tc>
        <w:tc>
          <w:tcPr>
            <w:tcW w:type="dxa" w:w="730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Qualified hours, schedule, service territory and maximum workload</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Version-specific QA</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Exact tested build/material, test population, findings, remediation and retest</w:t>
            </w:r>
          </w:p>
        </w:tc>
      </w:tr>
      <w:tr>
        <w:trPr>
          <w:cantSplit/>
        </w:trPr>
        <w:tc>
          <w:tcPr>
            <w:tcW w:type="dxa" w:w="2921"/>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Communication route</w:t>
            </w:r>
          </w:p>
        </w:tc>
        <w:tc>
          <w:tcPr>
            <w:tcW w:type="dxa" w:w="730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Verified recipient, sent instruction, acknowledgment and due date</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Reuse and allocation</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Shared work recorded once with fair cost allocation; no duplicate external revenue</w:t>
            </w:r>
          </w:p>
        </w:tc>
      </w:tr>
      <w:tr>
        <w:trPr>
          <w:cantSplit/>
        </w:trPr>
        <w:tc>
          <w:tcPr>
            <w:tcW w:type="dxa" w:w="2921"/>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Data and IP</w:t>
            </w:r>
          </w:p>
        </w:tc>
        <w:tc>
          <w:tcPr>
            <w:tcW w:type="dxa" w:w="730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Minimum necessary access, rights records, approved retention and secure transfer procedures</w:t>
            </w:r>
          </w:p>
        </w:tc>
      </w:tr>
    </w:tbl>
    <w:p>
      <w:pPr>
        <w:pStyle w:val="Heading1"/>
        <w:pageBreakBefore/>
      </w:pPr>
      <w:r>
        <w:t>Project roadmap and commercialization sequence</w:t>
      </w:r>
    </w:p>
    <w:p>
      <w:r>
        <w:t>The full portfolio remains in view, but commercialization should follow evidence. The proposed sequence below is relative to adoption of this plan and does not replace existing owner deadlines or create new launch approvals.</w:t>
      </w:r>
    </w:p>
    <w:p>
      <w:r>
        <w:t>ETV is the reference for the established storefront/payment handoff, not proof that every other product has completed it. VraiSkill, Turbo Tax Made Easy and S'otality should have separate exact-version release records. Is can use a bounded free usability beta without making payment setup a false prerequisite for that specific test.</w:t>
      </w:r>
    </w:p>
    <w:p>
      <w:r>
        <w:t>Atelier/Model Life review must use the current iteration and scoped owner instructions; private deployment is not independent QA or public approval. LesPetitFilms needs a production-complete work product, not a tool demonstration. Experimental games and Functional Analysis require their own commercial scope, rights and claims review.</w:t>
      </w:r>
    </w:p>
    <w:p>
      <w:r>
        <w:t>Changes are controlled: keep the original owner budget, the frozen Dot comparison, any new financial extension, and AF&amp;I's uplift individually identifiable. A proposed roadmap is not a receipt from a process owner.</w:t>
      </w:r>
    </w:p>
    <w:tbl>
      <w:tblPr>
        <w:tblW w:type="auto" w:w="0"/>
        <w:jc w:val="center"/>
        <w:tblLayout w:type="fixed"/>
        <w:tblLook w:firstColumn="1" w:firstRow="1" w:lastColumn="0" w:lastRow="0" w:noHBand="0" w:noVBand="1" w:val="04A0"/>
      </w:tblPr>
      <w:tblGrid>
        <w:gridCol w:w="1922"/>
        <w:gridCol w:w="5074"/>
        <w:gridCol w:w="3229"/>
      </w:tblGrid>
      <w:tr>
        <w:trPr>
          <w:tblHeader/>
          <w:cantSplit/>
        </w:trPr>
        <w:tc>
          <w:tcPr>
            <w:tcW w:type="dxa" w:w="192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Stage</w:t>
            </w:r>
          </w:p>
        </w:tc>
        <w:tc>
          <w:tcPr>
            <w:tcW w:type="dxa" w:w="507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Work and exit evidence</w:t>
            </w:r>
          </w:p>
        </w:tc>
        <w:tc>
          <w:tcPr>
            <w:tcW w:type="dxa" w:w="3229"/>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Commercial consequence</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Baseline and ownership</w:t>
            </w:r>
          </w:p>
        </w:tc>
        <w:tc>
          <w:tcPr>
            <w:tcW w:type="dxa" w:w="5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Reconcile every product, owner, current version, charter, original budget and delivery route. Owner BP target remains 30 October 2026.</w:t>
            </w:r>
          </w:p>
        </w:tc>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No missing item is silently priced, launched or counted as completed.</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Ready offer verification</w:t>
            </w:r>
          </w:p>
        </w:tc>
        <w:tc>
          <w:tcPr>
            <w:tcW w:type="dxa" w:w="5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Confirm customer terms, rights, price/edition, functioning delivery, test evidence and accepted fulfillment capacity.</w:t>
            </w:r>
          </w:p>
        </w:tc>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Maintain settled ETV release; apply appropriate gates to other products rather than invent a blanket hold.</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Bounded pilot</w:t>
            </w:r>
          </w:p>
        </w:tc>
        <w:tc>
          <w:tcPr>
            <w:tcW w:type="dxa" w:w="5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Test a small defined audience and service scope; collect observed conversion, completion, defects, support and cash data.</w:t>
            </w:r>
          </w:p>
        </w:tc>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Use real feedback to replace the comparison assumptions.</w:t>
            </w:r>
          </w:p>
        </w:tc>
      </w:tr>
      <w:tr>
        <w:trPr>
          <w:cantSplit/>
        </w:trPr>
        <w:tc>
          <w:tcPr>
            <w:tcW w:type="dxa" w:w="192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Receipts first expansion</w:t>
            </w:r>
          </w:p>
        </w:tc>
        <w:tc>
          <w:tcPr>
            <w:tcW w:type="dxa" w:w="5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Reconcile collected receipts, commitments, refunds and working capital before expanding activity.</w:t>
            </w:r>
          </w:p>
        </w:tc>
        <w:tc>
          <w:tcPr>
            <w:tcW w:type="dxa" w:w="3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No unapproved external financing or automatic intercompany pooling.</w:t>
            </w:r>
          </w:p>
        </w:tc>
      </w:tr>
      <w:tr>
        <w:trPr>
          <w:cantSplit/>
        </w:trPr>
        <w:tc>
          <w:tcPr>
            <w:tcW w:type="dxa" w:w="192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Scale and institutionalize</w:t>
            </w:r>
          </w:p>
        </w:tc>
        <w:tc>
          <w:tcPr>
            <w:tcW w:type="dxa" w:w="5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Expand only repeatable offers; standardize successful controls and schedule independent assurance.</w:t>
            </w:r>
          </w:p>
        </w:tc>
        <w:tc>
          <w:tcPr>
            <w:tcW w:type="dxa" w:w="3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Increase throughput without hiding defects, unmet capacity or customer harm.</w:t>
            </w:r>
          </w:p>
        </w:tc>
      </w:tr>
    </w:tbl>
    <w:p>
      <w:pPr>
        <w:pStyle w:val="Heading1"/>
        <w:pageBreakBefore/>
      </w:pPr>
      <w:r>
        <w:t>Governance quality and SUSTAIN 90</w:t>
      </w:r>
    </w:p>
    <w:p>
      <w:r>
        <w:t>The operating goal is a coordinated enterprise that requires less founder intervention because work is demonstrably controlled, not because missing evidence is classified as success.</w:t>
      </w:r>
    </w:p>
    <w:p>
      <w:r>
        <w:t>The owner requires 99.99% effectiveness and efficiency and a separate 0.0001% error limit. These are not mathematically interchangeable: 0.0001% is one error per million defined opportunities. Each measure needs a denominator, a population, a measurement period, critical-defect rules and an independent test method. A small sample of passing tests cannot establish enterprise-wide performance at that level.</w:t>
      </w:r>
    </w:p>
    <w:p>
      <w:r>
        <w:t>SUSTAIN-90 is a self-sustainability objective, not a synonym for a 90-point score or a completed workbook. The latest bounded review left the enterprise unscored because operating populations and validated measurements were incomplete. Twenty-six reviewed functions lacked measured effectiveness/efficiency actuals. This does not mean no work occurred; it means the target has not been demonstrated.</w:t>
      </w:r>
    </w:p>
    <w:p>
      <w:r>
        <w:t>The governance sequence should preserve the founder's directions: process owners prepare and own their plans; General Counsel and LGC iterate legal materials; QC and IA review in their roles; ED and BOD approve according to authority; BOD issuance makes enterprise documents official. An AI legal role is not a licensed attorney. This document is not an approval record.</w:t>
      </w:r>
    </w:p>
    <w:tbl>
      <w:tblPr>
        <w:tblW w:type="auto" w:w="0"/>
        <w:jc w:val="center"/>
        <w:tblLayout w:type="fixed"/>
        <w:tblLook w:firstColumn="1" w:firstRow="1" w:lastColumn="0" w:lastRow="0" w:noHBand="0" w:noVBand="1" w:val="04A0"/>
      </w:tblPr>
      <w:tblGrid>
        <w:gridCol w:w="2767"/>
        <w:gridCol w:w="7457"/>
      </w:tblGrid>
      <w:tr>
        <w:trPr>
          <w:tblHeader/>
          <w:cantSplit/>
        </w:trPr>
        <w:tc>
          <w:tcPr>
            <w:tcW w:type="dxa" w:w="276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Reporting layer</w:t>
            </w:r>
          </w:p>
        </w:tc>
        <w:tc>
          <w:tcPr>
            <w:tcW w:type="dxa" w:w="7457"/>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Evidence to retain</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Daily operating record</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Owner, current version, WIP, due date, blocker, cash/capacity and next accepted action</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Quality record</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Population tested, sample basis, defects by severity, correction, retest and reviewer</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Financial record</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Orders, receipts, refunds, revenue basis, cost accruals, liabilities and forecast variance</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Sustainability record</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Founder interventions, repeatable completed cycles, contribution, cash coverage and continuity</w:t>
            </w:r>
          </w:p>
        </w:tc>
      </w:tr>
      <w:tr>
        <w:trPr>
          <w:cantSplit/>
        </w:trPr>
        <w:tc>
          <w:tcPr>
            <w:tcW w:type="dxa" w:w="276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Escalation record</w:t>
            </w:r>
          </w:p>
        </w:tc>
        <w:tc>
          <w:tcPr>
            <w:tcW w:type="dxa" w:w="7457"/>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Only genuinely high-priority founder decisions; routine issues remain with accountable execution roles</w:t>
            </w:r>
          </w:p>
        </w:tc>
      </w:tr>
      <w:tr>
        <w:trPr>
          <w:cantSplit/>
        </w:trPr>
        <w:tc>
          <w:tcPr>
            <w:tcW w:type="dxa" w:w="276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Status integrity</w:t>
            </w:r>
          </w:p>
        </w:tc>
        <w:tc>
          <w:tcPr>
            <w:tcW w:type="dxa" w:w="7457"/>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Prepared, sent, received, approved and completed are separate states; missing receipts remain missing</w:t>
            </w:r>
          </w:p>
        </w:tc>
      </w:tr>
    </w:tbl>
    <w:p>
      <w:pPr>
        <w:pStyle w:val="Heading1"/>
        <w:pageBreakBefore/>
      </w:pPr>
      <w:r>
        <w:t>Risk controls and resilience</w:t>
      </w:r>
    </w:p>
    <w:p>
      <w:r>
        <w:t>The most material risks are premature commercial promises, unsupported financial assumptions, incomplete delivery capacity, rights/data exposure and mistaking planning artifacts for operational evidence.</w:t>
      </w:r>
    </w:p>
    <w:p>
      <w:r>
        <w:t>These controls are planning requirements, not legal advice or proof of compliance. Jurisdiction-specific determinations, vendor contracts and release decisions must be established by the responsible qualified parties. The plan does not authorize credential creation, new spending, customer-data transmission or regulated financial transactions.</w:t>
      </w:r>
    </w:p>
    <w:p>
      <w:r>
        <w:t>Resilience should be tested through recoverable backups, version restoration, payment/delivery reconciliation and a bounded incident exercise. No claim of continuous monitoring or zero data loss is made here.</w:t>
      </w:r>
    </w:p>
    <w:tbl>
      <w:tblPr>
        <w:tblW w:type="auto" w:w="0"/>
        <w:jc w:val="center"/>
        <w:tblLayout w:type="fixed"/>
        <w:tblLook w:firstColumn="1" w:firstRow="1" w:lastColumn="0" w:lastRow="0" w:noHBand="0" w:noVBand="1" w:val="04A0"/>
      </w:tblPr>
      <w:tblGrid>
        <w:gridCol w:w="2229"/>
        <w:gridCol w:w="4074"/>
        <w:gridCol w:w="3920"/>
      </w:tblGrid>
      <w:tr>
        <w:trPr>
          <w:tblHeader/>
          <w:cantSplit/>
        </w:trPr>
        <w:tc>
          <w:tcPr>
            <w:tcW w:type="dxa" w:w="2229"/>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Risk</w:t>
            </w:r>
          </w:p>
        </w:tc>
        <w:tc>
          <w:tcPr>
            <w:tcW w:type="dxa" w:w="407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Preventive control</w:t>
            </w:r>
          </w:p>
        </w:tc>
        <w:tc>
          <w:tcPr>
            <w:tcW w:type="dxa" w:w="392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Evidence and response</w:t>
            </w:r>
          </w:p>
        </w:tc>
      </w:tr>
      <w:tr>
        <w:trPr>
          <w:cantSplit/>
        </w:trPr>
        <w:tc>
          <w:tcPr>
            <w:tcW w:type="dxa" w:w="2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Demand is assumed</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Test a defined buyer/offer/channel; record negative evidence</w:t>
            </w:r>
          </w:p>
        </w:tc>
        <w:tc>
          <w:tcPr>
            <w:tcW w:type="dxa" w:w="392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Revise forecast drivers through a new version, not a silent overwrite</w:t>
            </w:r>
          </w:p>
        </w:tc>
      </w:tr>
      <w:tr>
        <w:trPr>
          <w:cantSplit/>
        </w:trPr>
        <w:tc>
          <w:tcPr>
            <w:tcW w:type="dxa" w:w="2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Unfunded operations</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Cash timing and commitments reviewed before paid activity</w:t>
            </w:r>
          </w:p>
        </w:tc>
        <w:tc>
          <w:tcPr>
            <w:tcW w:type="dxa" w:w="392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Sequence work to available receipts; disclose financing residuals</w:t>
            </w:r>
          </w:p>
        </w:tc>
      </w:tr>
      <w:tr>
        <w:trPr>
          <w:cantSplit/>
        </w:trPr>
        <w:tc>
          <w:tcPr>
            <w:tcW w:type="dxa" w:w="2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Underestimated labor</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Record delivery, review, support, preparation and provider hours</w:t>
            </w:r>
          </w:p>
        </w:tc>
        <w:tc>
          <w:tcPr>
            <w:tcW w:type="dxa" w:w="392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Requote scope or restrict throughput before customer promises</w:t>
            </w:r>
          </w:p>
        </w:tc>
      </w:tr>
      <w:tr>
        <w:trPr>
          <w:cantSplit/>
        </w:trPr>
        <w:tc>
          <w:tcPr>
            <w:tcW w:type="dxa" w:w="2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Professional or tax claims</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Qualified review and dated sources; scoped client engagement</w:t>
            </w:r>
          </w:p>
        </w:tc>
        <w:tc>
          <w:tcPr>
            <w:tcW w:type="dxa" w:w="392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No unsupported CPA guarantee or AI-only representation</w:t>
            </w:r>
          </w:p>
        </w:tc>
      </w:tr>
      <w:tr>
        <w:trPr>
          <w:cantSplit/>
        </w:trPr>
        <w:tc>
          <w:tcPr>
            <w:tcW w:type="dxa" w:w="2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Children and vulnerable users</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Age-appropriate design, applicable consent and data minimization</w:t>
            </w:r>
          </w:p>
        </w:tc>
        <w:tc>
          <w:tcPr>
            <w:tcW w:type="dxa" w:w="392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Separate release gate, reporting and incident response</w:t>
            </w:r>
          </w:p>
        </w:tc>
      </w:tr>
      <w:tr>
        <w:trPr>
          <w:cantSplit/>
        </w:trPr>
        <w:tc>
          <w:tcPr>
            <w:tcW w:type="dxa" w:w="2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IP and media rights</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Provenance, releases, licenses and approved uses</w:t>
            </w:r>
          </w:p>
        </w:tc>
        <w:tc>
          <w:tcPr>
            <w:tcW w:type="dxa" w:w="392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Quarantine disputed assets; do not sell unlicensed manufacturer content</w:t>
            </w:r>
          </w:p>
        </w:tc>
      </w:tr>
      <w:tr>
        <w:trPr>
          <w:cantSplit/>
        </w:trPr>
        <w:tc>
          <w:tcPr>
            <w:tcW w:type="dxa" w:w="2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Service-provider classification</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Contract-specific legal and operating review</w:t>
            </w:r>
          </w:p>
        </w:tc>
        <w:tc>
          <w:tcPr>
            <w:tcW w:type="dxa" w:w="392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Do not infer employment status from a budget label</w:t>
            </w:r>
          </w:p>
        </w:tc>
      </w:tr>
      <w:tr>
        <w:trPr>
          <w:cantSplit/>
        </w:trPr>
        <w:tc>
          <w:tcPr>
            <w:tcW w:type="dxa" w:w="2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Cybersecurity and customer data</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Verified authentication, least privilege, logging and recovery tests</w:t>
            </w:r>
          </w:p>
        </w:tc>
        <w:tc>
          <w:tcPr>
            <w:tcW w:type="dxa" w:w="392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Preserve version-specific evidence and customer notification procedures</w:t>
            </w:r>
          </w:p>
        </w:tc>
      </w:tr>
      <w:tr>
        <w:trPr>
          <w:cantSplit/>
        </w:trPr>
        <w:tc>
          <w:tcPr>
            <w:tcW w:type="dxa" w:w="222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Brand and refund exposure</w:t>
            </w:r>
          </w:p>
        </w:tc>
        <w:tc>
          <w:tcPr>
            <w:tcW w:type="dxa" w:w="407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Accurate descriptions, tested fulfillment and clear terms</w:t>
            </w:r>
          </w:p>
        </w:tc>
        <w:tc>
          <w:tcPr>
            <w:tcW w:type="dxa" w:w="392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Track complaints, refunds and corrective action by product</w:t>
            </w:r>
          </w:p>
        </w:tc>
      </w:tr>
      <w:tr>
        <w:trPr>
          <w:cantSplit/>
        </w:trPr>
        <w:tc>
          <w:tcPr>
            <w:tcW w:type="dxa" w:w="222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Governance fiction</w:t>
            </w:r>
          </w:p>
        </w:tc>
        <w:tc>
          <w:tcPr>
            <w:tcW w:type="dxa" w:w="407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Accepted owners and receipts; independent review boundaries</w:t>
            </w:r>
          </w:p>
        </w:tc>
        <w:tc>
          <w:tcPr>
            <w:tcW w:type="dxa" w:w="392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Do not report a route failure as delivery or a draft as approval</w:t>
            </w:r>
          </w:p>
        </w:tc>
      </w:tr>
    </w:tbl>
    <w:p>
      <w:pPr>
        <w:pStyle w:val="Heading1"/>
        <w:pageBreakBefore/>
      </w:pPr>
      <w:r>
        <w:t>Financial basis and decision limits</w:t>
      </w:r>
    </w:p>
    <w:p>
      <w:r>
        <w:t>The financial statements are a comparison scenario derived from the frozen 24 October 2026 model. They are not actual financial statements, owner-approved budgets or evidence of a funded operating plan.</w:t>
      </w:r>
    </w:p>
    <w:p>
      <w:r>
        <w:t>The model begins with 334 catalog records mapped to 128 driver rows and 39 reporting families. Some rows represent pooled editions, included modules or conditional concepts. The coverage review adds narrative detail without silently adding sales. Prices combine limited founder-authorized anchors, historical menu directions and explicitly assumed averages. Volumes, operating months, retention, acquisition growth, delivery effort and several cost rates are Dot judgments.</w:t>
      </w:r>
    </w:p>
    <w:p>
      <w:r>
        <w:t>For example, the TTME core bundle assumes 25 purchases per month over ten operating months: 250 multiplied by the historical $149 price yields $37,250 before assumed 3% refunds, or $36,132.50 net. The sales quantity and readiness timing are not derived from an accepted sales pipeline. The ETV site-service illustration assumes twelve projects at $1,750, with modeled human delivery, support, materials, payment and marketing costs.</w:t>
      </w:r>
    </w:p>
    <w:p>
      <w:r>
        <w:t>The Base case leaves a stated $119,600 founder preparation/coordination allowance unpaid in Year 1. The paid case recomputes taxes and cash, rather than subtracting that allowance mechanically from after-tax profit. Both cases assume reusable assets and omit unquantified additional development. National BLS wage information provides context, not an accepted contractor quote or staffed resource commitment.</w:t>
      </w:r>
    </w:p>
    <w:p>
      <w:r>
        <w:t>The three-statement extension assumes opening balances of zero for scenario purposes, immediate settlement of specified liabilities and no external financing. These are not verified enterprise balances. Annual positive cash does not remove the monthly funding gap. Cash pooling across reporting families is hypothetical and not authorized by this document.</w:t>
      </w:r>
    </w:p>
    <w:tbl>
      <w:tblPr>
        <w:tblW w:type="auto" w:w="0"/>
        <w:jc w:val="center"/>
        <w:tblLayout w:type="fixed"/>
        <w:tblLook w:firstColumn="1" w:firstRow="1" w:lastColumn="0" w:lastRow="0" w:noHBand="0" w:noVBand="1" w:val="04A0"/>
      </w:tblPr>
      <w:tblGrid>
        <w:gridCol w:w="3075"/>
        <w:gridCol w:w="7149"/>
      </w:tblGrid>
      <w:tr>
        <w:trPr>
          <w:tblHeader/>
          <w:cantSplit/>
        </w:trPr>
        <w:tc>
          <w:tcPr>
            <w:tcW w:type="dxa" w:w="3075"/>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Financial reading rule</w:t>
            </w:r>
          </w:p>
        </w:tc>
        <w:tc>
          <w:tcPr>
            <w:tcW w:type="dxa" w:w="7149"/>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Treatment</w:t>
            </w:r>
          </w:p>
        </w:tc>
      </w:tr>
      <w:tr>
        <w:trPr>
          <w:cantSplit/>
        </w:trPr>
        <w:tc>
          <w:tcPr>
            <w:tcW w:type="dxa" w:w="3075"/>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Years and currency</w:t>
            </w:r>
          </w:p>
        </w:tc>
        <w:tc>
          <w:tcPr>
            <w:tcW w:type="dxa" w:w="714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USD. Year 1 is an unassigned operating year, not automatically calendar 2026.</w:t>
            </w:r>
          </w:p>
        </w:tc>
      </w:tr>
      <w:tr>
        <w:trPr>
          <w:cantSplit/>
        </w:trPr>
        <w:tc>
          <w:tcPr>
            <w:tcW w:type="dxa" w:w="3075"/>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Long horizon</w:t>
            </w:r>
          </w:p>
        </w:tc>
        <w:tc>
          <w:tcPr>
            <w:tcW w:type="dxa" w:w="714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Years 1–10 are detailed schedules; Years 11–20 extend the assumptions as pro forma sensitivity, not predictable outcomes.</w:t>
            </w:r>
          </w:p>
        </w:tc>
      </w:tr>
      <w:tr>
        <w:trPr>
          <w:cantSplit/>
        </w:trPr>
        <w:tc>
          <w:tcPr>
            <w:tcW w:type="dxa" w:w="3075"/>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Revenue recognition</w:t>
            </w:r>
          </w:p>
        </w:tc>
        <w:tc>
          <w:tcPr>
            <w:tcW w:type="dxa" w:w="714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Separate provider transaction value from enterprise fees; actual contracts must resolve principal-versus-agent treatment.</w:t>
            </w:r>
          </w:p>
        </w:tc>
      </w:tr>
      <w:tr>
        <w:trPr>
          <w:cantSplit/>
        </w:trPr>
        <w:tc>
          <w:tcPr>
            <w:tcW w:type="dxa" w:w="3075"/>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Tax</w:t>
            </w:r>
          </w:p>
        </w:tc>
        <w:tc>
          <w:tcPr>
            <w:tcW w:type="dxa" w:w="714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Illustrative 25% provision by reporting family with modeled loss pools; not a legal-entity tax computation.</w:t>
            </w:r>
          </w:p>
        </w:tc>
      </w:tr>
      <w:tr>
        <w:trPr>
          <w:cantSplit/>
        </w:trPr>
        <w:tc>
          <w:tcPr>
            <w:tcW w:type="dxa" w:w="3075"/>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Frozen comparison</w:t>
            </w:r>
          </w:p>
        </w:tc>
        <w:tc>
          <w:tcPr>
            <w:tcW w:type="dxa" w:w="7149"/>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Retain original workbook and report. This plan and its companion are separately versioned and traceable.</w:t>
            </w:r>
          </w:p>
        </w:tc>
      </w:tr>
      <w:tr>
        <w:trPr>
          <w:cantSplit/>
        </w:trPr>
        <w:tc>
          <w:tcPr>
            <w:tcW w:type="dxa" w:w="3075"/>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Unresolved scope</w:t>
            </w:r>
          </w:p>
        </w:tc>
        <w:tc>
          <w:tcPr>
            <w:tcW w:type="dxa" w:w="7149"/>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Unknown costs and unallocated product details remain explicit; zero is not a substitute for missing information.</w:t>
            </w:r>
          </w:p>
        </w:tc>
      </w:tr>
    </w:tbl>
    <w:p>
      <w:pPr>
        <w:pStyle w:val="Heading1"/>
        <w:pageBreakBefore/>
      </w:pPr>
      <w:r>
        <w:t>Financial trajectory and scenario limits</w:t>
      </w:r>
    </w:p>
    <w:p>
      <w:r>
        <w:t>The Base case projects increasing earnings from assumed unit sales, retention, acquisition and prices. The chart communicates model behavior, not observed performance or validated demand.</w:t>
      </w:r>
    </w:p>
    <w:p>
      <w:r>
        <w:drawing>
          <wp:inline xmlns:a="http://schemas.openxmlformats.org/drawingml/2006/main" xmlns:pic="http://schemas.openxmlformats.org/drawingml/2006/picture">
            <wp:extent cx="6400800" cy="2560320"/>
            <wp:docPr id="1" name="Picture 1"/>
            <wp:cNvGraphicFramePr>
              <a:graphicFrameLocks noChangeAspect="1"/>
            </wp:cNvGraphicFramePr>
            <a:graphic>
              <a:graphicData uri="http://schemas.openxmlformats.org/drawingml/2006/picture">
                <pic:pic>
                  <pic:nvPicPr>
                    <pic:cNvPr id="0" name="financial_trajectory.png"/>
                    <pic:cNvPicPr/>
                  </pic:nvPicPr>
                  <pic:blipFill>
                    <a:blip r:embed="rId10"/>
                    <a:stretch>
                      <a:fillRect/>
                    </a:stretch>
                  </pic:blipFill>
                  <pic:spPr>
                    <a:xfrm>
                      <a:off x="0" y="0"/>
                      <a:ext cx="6400800" cy="2560320"/>
                    </a:xfrm>
                    <a:prstGeom prst="rect"/>
                  </pic:spPr>
                </pic:pic>
              </a:graphicData>
            </a:graphic>
          </wp:inline>
        </w:drawing>
      </w:r>
    </w:p>
    <w:tbl>
      <w:tblPr>
        <w:tblW w:type="auto" w:w="0"/>
        <w:jc w:val="center"/>
        <w:tblLayout w:type="fixed"/>
        <w:tblLook w:firstColumn="1" w:firstRow="1" w:lastColumn="0" w:lastRow="0" w:noHBand="0" w:noVBand="1" w:val="04A0"/>
      </w:tblPr>
      <w:tblGrid>
        <w:gridCol w:w="3744"/>
        <w:gridCol w:w="1656"/>
        <w:gridCol w:w="4824"/>
      </w:tblGrid>
      <w:tr>
        <w:trPr>
          <w:tblHeader/>
          <w:cantSplit/>
        </w:trPr>
        <w:tc>
          <w:tcPr>
            <w:tcW w:type="dxa" w:w="374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Year 1 interpretation</w:t>
            </w:r>
          </w:p>
        </w:tc>
        <w:tc>
          <w:tcPr>
            <w:tcW w:type="dxa" w:w="1656"/>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Amount</w:t>
            </w:r>
          </w:p>
        </w:tc>
        <w:tc>
          <w:tcPr>
            <w:tcW w:type="dxa" w:w="482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Meaning</w:t>
            </w:r>
          </w:p>
        </w:tc>
      </w:tr>
      <w:tr>
        <w:trPr>
          <w:cantSplit/>
        </w:trPr>
        <w:tc>
          <w:tcPr>
            <w:tcW w:type="dxa" w:w="374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Base net income</w:t>
            </w:r>
          </w:p>
        </w:tc>
        <w:tc>
          <w:tcPr>
            <w:tcW w:type="dxa" w:w="165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$285,425</w:t>
            </w:r>
          </w:p>
        </w:tc>
        <w:tc>
          <w:tcPr>
            <w:tcW w:type="dxa" w:w="482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Founder preparation and coordination unpaid</w:t>
            </w:r>
          </w:p>
        </w:tc>
      </w:tr>
      <w:tr>
        <w:trPr>
          <w:cantSplit/>
        </w:trPr>
        <w:tc>
          <w:tcPr>
            <w:tcW w:type="dxa" w:w="374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Paid founder sensitivity net income</w:t>
            </w:r>
          </w:p>
        </w:tc>
        <w:tc>
          <w:tcPr>
            <w:tcW w:type="dxa" w:w="165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$192,534</w:t>
            </w:r>
          </w:p>
        </w:tc>
        <w:tc>
          <w:tcPr>
            <w:tcW w:type="dxa" w:w="482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Includes modeled $119,600 labor allowance and tax effect</w:t>
            </w:r>
          </w:p>
        </w:tc>
      </w:tr>
      <w:tr>
        <w:trPr>
          <w:cantSplit/>
        </w:trPr>
        <w:tc>
          <w:tcPr>
            <w:tcW w:type="dxa" w:w="374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Base pooled monthly peak cash need</w:t>
            </w:r>
          </w:p>
        </w:tc>
        <w:tc>
          <w:tcPr>
            <w:tcW w:type="dxa" w:w="165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$25,217</w:t>
            </w:r>
          </w:p>
        </w:tc>
        <w:tc>
          <w:tcPr>
            <w:tcW w:type="dxa" w:w="482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Unfunded under zero opening cash assumption</w:t>
            </w:r>
          </w:p>
        </w:tc>
      </w:tr>
      <w:tr>
        <w:trPr>
          <w:cantSplit/>
        </w:trPr>
        <w:tc>
          <w:tcPr>
            <w:tcW w:type="dxa" w:w="374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Paid founder pooled monthly peak need</w:t>
            </w:r>
          </w:p>
        </w:tc>
        <w:tc>
          <w:tcPr>
            <w:tcW w:type="dxa" w:w="165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$79,094</w:t>
            </w:r>
          </w:p>
        </w:tc>
        <w:tc>
          <w:tcPr>
            <w:tcW w:type="dxa" w:w="482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Not arranged financing</w:t>
            </w:r>
          </w:p>
        </w:tc>
      </w:tr>
      <w:tr>
        <w:trPr>
          <w:cantSplit/>
        </w:trPr>
        <w:tc>
          <w:tcPr>
            <w:tcW w:type="dxa" w:w="374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Separate family peaks without pooling</w:t>
            </w:r>
          </w:p>
        </w:tc>
        <w:tc>
          <w:tcPr>
            <w:tcW w:type="dxa" w:w="1656"/>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$62,050</w:t>
            </w:r>
          </w:p>
        </w:tc>
        <w:tc>
          <w:tcPr>
            <w:tcW w:type="dxa" w:w="482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Base; sum of family needs, not consolidated pooled need</w:t>
            </w:r>
          </w:p>
        </w:tc>
      </w:tr>
      <w:tr>
        <w:trPr>
          <w:cantSplit/>
        </w:trPr>
        <w:tc>
          <w:tcPr>
            <w:tcW w:type="dxa" w:w="374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Remaining development costs</w:t>
            </w:r>
          </w:p>
        </w:tc>
        <w:tc>
          <w:tcPr>
            <w:tcW w:type="dxa" w:w="1656"/>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Unquantified</w:t>
            </w:r>
          </w:p>
        </w:tc>
        <w:tc>
          <w:tcPr>
            <w:tcW w:type="dxa" w:w="482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Excluded, not zero</w:t>
            </w:r>
          </w:p>
        </w:tc>
      </w:tr>
    </w:tbl>
    <w:p>
      <w:pPr>
        <w:spacing w:before="100"/>
      </w:pPr>
      <w:r>
        <w:t>Year 1 net revenue is $1,017,953, with $513,187 cost of revenue and $123,394 operating expenses. Reported net income must not be confused with available startup cash. The no-paid-founder Base is not a claim that labor is free or that the enterprise has accepted unpaid capacity.</w:t>
      </w:r>
    </w:p>
    <w:p>
      <w:r>
        <w:t>Do not apply AF&amp;I’s requested 20% uplift mechanically to all statements. Owners must first submit their own original plans and budgets; AF&amp;I can then build a separate achievable target with explicit sales, staffing, cost and cash consequences.</w:t>
      </w:r>
    </w:p>
    <w:p>
      <w:pPr>
        <w:pStyle w:val="Heading1"/>
        <w:pageBreakBefore/>
      </w:pPr>
      <w:r>
        <w:t>Income statement Years 1 to 5</w:t>
      </w:r>
    </w:p>
    <w:p>
      <w:r>
        <w:t>Base comparison scenario | USD rounded | Conditional planning assumptions, not actual results</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2</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3</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4</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ETV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21,780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24,560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28,421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33,081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38,558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ETV services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62,000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66,402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72,890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80,961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90,418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BPA professional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291,800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377,942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444,750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504,303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562,900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CornerFlow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7,506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9,845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12,226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14,836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Spindle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7,506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9,845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14,836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Maison Contour</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6,730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10,113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13,324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16,691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20,448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DishLoom US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5,670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8,212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10,960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14,064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17,678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Is Makes Travel Easy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14,859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18,106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21,863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26,389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31,898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Turbo Tax - Made Easy!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48,650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64,145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76,140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88,521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102,465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adult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22,140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32,305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39,182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45,926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53,450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LavaLearning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Kids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5,700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11,483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14,692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17,546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20,661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adult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16,191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23,121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28,173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33,316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39,148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VraiSkill teen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9,670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12,372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14,776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17,399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Model Life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16,320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23,638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31,548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40,481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50,882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cleaning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104,520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126,511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147,600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169,068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191,812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laundry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16,200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19,608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22,877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26,205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29,730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Personal Chef</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29,437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37,654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45,079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52,311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interiors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36,450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45,065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52,990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60,991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69,540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concierge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16,983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19,991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22,908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25,946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administration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21,600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27,173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31,986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36,652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41,514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bike tours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7,800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11,775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15,062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18,032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20,924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editorial</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6,355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7,997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9,281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10,524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Tomato Odyssey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6,355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7,997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9,281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10,524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Studio</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67,950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88,103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104,229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119,798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136,262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Marketplace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11,100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16,077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21,457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27,533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34,607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premium and media</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11,215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14,968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19,206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24,141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7,020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10,025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14,445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16,974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Sleepy Face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72,000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137,186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173,531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203,385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233,921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QzoticMusic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11,192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14,148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16,551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18,968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LesPetitFilms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23,000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41,759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52,549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60,993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69,160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Learn Anglais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26,910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34,001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41,575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50,510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61,298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Fiefé</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16,050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30,581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38,683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45,338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52,145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Fiefé Design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10,000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19,054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24,101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28,248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32,489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OsezArt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68,003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84,650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100,163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116,082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FinBot research</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4,485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5,356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6,307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Functional Analysis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4,062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7,501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9,603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11,436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13,341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Independent candy game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4,608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5,426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recognized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1,055,642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1,455,187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1,758,211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2,045,573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2,349,524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refunds and credits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35,269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50,515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61,423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71,536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82,182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Less: promotional discounts credited after charge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4,366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5,478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6,408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7,367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revenue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1,017,953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1,400,306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1,691,310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1,967,629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2,259,976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delivery and professional fulfillment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252,736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340,978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413,661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485,121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561,887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Materials, production and fulfillment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71,255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120,013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150,721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177,651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205,725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External provider share — principal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99,828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124,799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147,854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170,683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194,438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Customer and learner support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49,953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72,042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89,886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108,230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128,932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Payment processing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39,415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54,197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66,031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77,725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90,442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513,187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712,030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868,153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1,019,409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1,181,424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Gross profit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504,766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688,276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823,157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948,219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1,078,551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Variable sales and marketing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48,844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69,714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84,807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98,901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113,801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Product-specific technology and operating costs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2,287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2,355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2,499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Launch samples and setup expenses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operations and financial administration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11,520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12,459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13,474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14,572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15,760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accounting and tax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11,520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12,459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13,474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14,572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15,760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campaign production support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8,306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8,983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9,715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10,507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quality and compliance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13,200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14,276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15,439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16,698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18,058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technical maintenance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11,421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12,351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13,358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14,447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Hosting and usage infrastructure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1,854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1,967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2,026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Business software and communications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1,351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Insurance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3,278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3,377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Legal and professional fees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4,800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5,245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5,402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Office and administrative costs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927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955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1,013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Licenses and registration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656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675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Travel and business development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1,236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1,273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1,351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Research and development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2,026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Founder preparation and coordination, if paid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123,394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146,680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167,116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186,961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208,052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 before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381,372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541,596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656,040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761,258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870,499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Depreciation and amortization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380,872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541,096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655,540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760,712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869,953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Interest expense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Other income / (expense)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Income / (loss) before tax</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380,872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541,096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655,540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760,712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869,953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Illustrative income tax provision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95,447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135,533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164,219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190,583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217,973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285,425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405,563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491,322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570,128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651,980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SUPPLEMENTARY MEASURES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customer transaction value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1,243,052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1,704,071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2,076,764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2,445,420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2,846,032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Required paid delivery and support hours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6,976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9,315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11,063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12,703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14,423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Unpaid founder preparation and coordination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119,600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39,552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40,739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41,961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43,220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Pretax earnings less unpaid labor allowance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261,272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501,544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614,802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718,751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826,734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income less unpaid allowance, no tax benefit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165,825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366,011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450,583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528,168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608,761</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Balance sheet Years 1 to 5</w:t>
      </w:r>
    </w:p>
    <w:p>
      <w:r>
        <w:t>Base comparison scenario | USD rounded | Conditional planning assumptions, not actual results</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2</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3</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4</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 — conditional on target transactions occurring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211,549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623,295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1,102,086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1,659,372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2,300,001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receivable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62,343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57,192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67,665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77,170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86,729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Inventory and prepaid materials —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10,533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10,001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12,560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14,804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17,144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current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284,425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690,489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1,182,310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1,751,346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2,403,873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3,139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accumulated depreciation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2,046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2,593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1,093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285,425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690,989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1,182,310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1,752,439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2,404,419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LIABILITIES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 no new financing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Paid-in capital — no new equity assumed</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Retained earnings / (accumulated losses)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285,425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690,989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1,182,310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1,752,439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2,404,419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equity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285,425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690,989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1,182,310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1,752,439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2,404,419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285,425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690,989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1,182,310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1,752,439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2,404,419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FUNDING RECONCILIATION — OUTSIDE THE STATEMENT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Assets less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Unfunded requirement — outside recognized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Accounting residual after identifying unfunded gap</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Cash flow statement Years 1 to 5</w:t>
      </w:r>
    </w:p>
    <w:p>
      <w:r>
        <w:t>Base comparison scenario | USD rounded | Conditional planning assumptions, not actual results</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2</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3</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4</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285,425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405,563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491,322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570,128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651,980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Add: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Change in receivables — cash effect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(62,343)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5,151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(10,473)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(9,505)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(9,559)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Change in inventory and prepayments — cash effect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(10,533)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(2,339)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Increase / (decrease) in 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operating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213,049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411,747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478,790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558,926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640,628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Purchase of capital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investing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(1,500)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(1,639)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Debt proceeds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principal repayments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Equity contributions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Distributions / dividends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cash from / (used in) financing activities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change before unresolved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211,549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411,747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478,790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557,287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640,628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Opening signed cash diagnostic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211,549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623,295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1,102,086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1,659,372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Closing signed cash diagnostic before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211,549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623,295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1,102,086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1,659,372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2,300,001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Nonnegative cash available in target balance sheet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211,549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623,295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1,102,086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1,659,372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2,300,001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Unfunded closing cash deficit — not arranged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Year 1 monthly pooled peak shortfall</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25,217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Cash-flow / balance-sheet cash reconciliation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Cash deficit / balance-sheet residual reconciliation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Income statement Years 6 to 10</w:t>
      </w:r>
    </w:p>
    <w:p>
      <w:r>
        <w:t>Financial appendix | Base comparison scenario | USD rounded | Conditional planning assumptions, not actual results</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6</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7</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8</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9</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ETV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41,285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43,378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45,375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47,417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49,541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ETV services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97,728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104,067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110,044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115,975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122,028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BPA professional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602,210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632,188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657,836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681,670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704,962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CornerFlow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16,909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18,659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20,215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21,662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23,054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Spindle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16,909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18,659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20,215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21,662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23,054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Maison Contour</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26,014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28,277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30,372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32,375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DishLoom US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20,644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23,168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25,397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27,436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29,363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Is Makes Travel Easy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36,407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40,285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43,766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47,006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50,116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Turbo Tax - Made Easy!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108,823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113,382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117,602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121,854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126,235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adult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57,042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59,714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62,230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64,786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67,435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LavaLearning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Kids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22,274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23,546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24,775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26,038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27,357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adult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42,186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44,590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46,916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49,307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51,806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VraiSkill teen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18,757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19,828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20,863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21,926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23,038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Model Life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59,420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66,685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73,100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78,969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84,515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cleaning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210,202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226,152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240,848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255,025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269,148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laundry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32,580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35,052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37,330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39,527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41,716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Personal Chef</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57,988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62,777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67,088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71,177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75,204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interiors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76,197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81,885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87,118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92,185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97,254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concierge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28,217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30,134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31,908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33,650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35,417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administration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45,148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48,214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51,053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53,839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56,667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bike tours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23,195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25,111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26,835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28,471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30,082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editorial</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12,005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12,647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13,300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13,977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Tomato Odyssey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11,333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12,005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12,647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13,300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13,977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Studio</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147,618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157,104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166,003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174,863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183,938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Marketplace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45,356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49,718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53,711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57,483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premium and media</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28,192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31,639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34,682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37,467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40,098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18,291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19,333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20,341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21,378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22,462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Sleepy Face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251,953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266,597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280,667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295,046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310,030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QzoticMusic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20,432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21,631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22,781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23,952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25,170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LesPetitFilms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74,473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78,889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83,112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87,400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91,851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Learn Anglais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69,664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76,791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83,209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89,217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95,012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Fiefé</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56,164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59,429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62,565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65,771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69,111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Fiefé Design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34,993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37,027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38,982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40,979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43,060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OsezArt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128,117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138,188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147,331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156,110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164,847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FinBot research</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7,563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7,948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8,351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Functional Analysis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14,466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15,369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16,220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17,074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17,953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Independent candy game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5,850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6,507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7,185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recognized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2,557,677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2,728,224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2,883,764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3,034,306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3,184,876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refunds and credits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89,328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95,177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100,546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105,781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111,048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Less: promotional discounts credited after charge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7,933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8,394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8,837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9,290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9,762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revenue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2,460,415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2,624,653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2,774,380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2,919,235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3,064,066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delivery and professional fulfillment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619,459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669,588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717,323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765,083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814,153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Materials, production and fulfillment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224,495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240,609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256,312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272,417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289,260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External provider share — principal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213,530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229,997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245,101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259,624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274,059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Customer and learner support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143,973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157,009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169,340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181,533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193,894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Payment processing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99,440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106,848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113,526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119,881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126,135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1,300,896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1,404,052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1,501,603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1,598,539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1,697,501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Gross profit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1,159,519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1,220,601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1,272,778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1,320,696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1,366,565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Variable sales and marketing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123,815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132,018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139,548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146,882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154,252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Product-specific technology and operating costs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2,897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Launch samples and setup expenses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operations and financial administration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17,045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18,434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19,936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21,561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23,318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accounting and tax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17,045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18,434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19,936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21,561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23,318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campaign production support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11,363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12,289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13,291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14,374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15,545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quality and compliance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19,530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21,122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22,843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24,705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26,719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technical maintenance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15,624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16,898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18,275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19,764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21,375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Hosting and usage infrastructure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Business software and communications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1,476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1,566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Insurance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3,478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3,582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3,914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Legal and professional fees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5,565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5,731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5,903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6,263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Office and administrative costs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1,107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1,174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Licenses and registration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696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783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Travel and business development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1,476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1,566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Research and development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2,087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2,214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2,349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Founder preparation and coordination, if paid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224,731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240,113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255,376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271,040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287,386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 before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934,787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980,487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1,017,402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1,049,656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1,079,179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Depreciation and amortization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652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934,241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979,890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1,016,805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1,049,059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1,078,527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Interest expense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Other income / (expense)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Income / (loss) before tax</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934,241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979,890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1,016,805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1,049,059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1,078,527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Illustrative income tax provision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234,122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245,616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254,932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263,092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270,577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700,119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734,275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761,873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785,967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807,950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SUPPLEMENTARY MEASURES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customer transaction value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3,133,878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3,372,544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3,588,507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3,794,572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3,997,793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Required paid delivery and support hours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15,501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16,313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17,004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17,638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18,245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Unpaid founder preparation and coordination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44,516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45,852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47,227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48,644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50,103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Pretax earnings less unpaid labor allowance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889,725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934,039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969,578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1,000,415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1,028,424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income less unpaid allowance, no tax benefit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655,603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688,423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714,646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737,323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757,847</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Balance sheet Years 6 to 10</w:t>
      </w:r>
    </w:p>
    <w:p>
      <w:r>
        <w:t>Financial appendix | Base comparison scenario | USD rounded | Conditional planning assumptions, not actual results</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6</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7</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8</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9</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 — conditional on target transactions occurring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2,992,415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3,718,775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4,475,111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5,255,684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6,056,268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receivable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93,415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98,793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103,619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108,267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112,924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Inventory and prepaid materials —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18,708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20,051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21,359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22,701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24,105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current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3,104,538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3,837,619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4,600,089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5,386,653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6,193,298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6,887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accumulated depreciation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5,583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1,194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1,305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3,104,538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3,838,813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4,600,686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5,386,653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6,194,603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LIABILITIES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 no new financing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Paid-in capital — no new equity assumed</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Retained earnings / (accumulated losses)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3,104,538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3,838,813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4,600,686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5,386,653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6,194,603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equity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3,104,538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3,838,813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4,600,686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5,386,653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6,194,603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3,104,538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3,838,813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4,600,686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5,386,653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6,194,603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FUNDING RECONCILIATION — OUTSIDE THE STATEMENT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Assets less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Unfunded requirement — outside recognized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Accounting residual after identifying unfunded gap</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Cash flow statement Years 6 to 10</w:t>
      </w:r>
    </w:p>
    <w:p>
      <w:r>
        <w:t>Financial appendix | Base comparison scenario | USD rounded | Conditional planning assumptions, not actual results</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6</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7</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8</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9</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700,119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734,275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761,873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785,967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807,950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Add: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Change in receivables — cash effect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(6,686)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(5,378)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(4,826)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(4,648)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(4,658)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Change in inventory and prepayments — cash effect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(1,342)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(1,404)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Increase / (decrease) in 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operating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692,415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728,151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756,335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780,574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802,541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Purchase of capital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(1,957)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investing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(1,791)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(1,957)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Debt proceeds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principal repayments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Equity contributions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Distributions / dividends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cash from / (used in) financing activities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change before unresolved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692,415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726,360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756,335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780,574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800,584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Opening signed cash diagnostic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2,300,001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2,992,415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3,718,775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4,475,111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5,255,684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Closing signed cash diagnostic before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2,992,415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3,718,775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4,475,111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5,255,684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6,056,268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Nonnegative cash available in target balance sheet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2,992,415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3,718,775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4,475,111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5,255,684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6,056,268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Unfunded closing cash deficit — not arranged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Year 1 monthly pooled peak shortfall</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Cash-flow / balance-sheet cash reconciliation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Cash deficit / balance-sheet residual reconciliation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Income statement Years 11 to 15</w:t>
      </w:r>
    </w:p>
    <w:p>
      <w:r>
        <w:t>Financial appendix | Base comparison scenario | USD rounded | Pro forma extension, not a validated forecast</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11</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12</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13</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14</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ETV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51,760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54,083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56,515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59,060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61,724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ETV services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128,297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134,837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141,685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148,866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156,405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BPA professional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728,363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752,212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776,694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801,916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827,944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CornerFlow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24,428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25,811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27,221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28,672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30,175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Spindle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24,428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25,811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27,221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28,672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30,175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Maison Contour</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34,344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36,315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38,319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40,376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42,503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DishLoom US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31,233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33,088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34,958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36,867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38,832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Is Makes Travel Easy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53,174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56,237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59,348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62,541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65,841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Turbo Tax - Made Easy!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130,777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135,490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140,384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145,467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150,747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adult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70,196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73,075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76,079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79,214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82,487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LavaLearning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Kids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28,742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30,197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31,725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33,330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35,017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adult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54,429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57,183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60,077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63,117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66,310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VraiSkill teen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24,204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25,429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26,716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28,067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29,488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Model Life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89,898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95,237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100,620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106,114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111,771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cleaning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283,512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298,314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313,688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329,732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346,521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laundry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43,943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46,237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48,620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51,107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53,709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Personal Chef</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79,269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83,440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87,759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92,259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96,964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interiors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102,429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107,772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113,329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119,132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125,205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concierge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37,242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39,144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41,133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43,219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45,408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administration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59,588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62,630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65,813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69,150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72,652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bike tours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31,708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33,376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35,104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36,904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38,786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editorial</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14,686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15,430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16,211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17,031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17,893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Tomato Odyssey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14,686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15,430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16,211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17,031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17,893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Studio</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193,359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203,201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213,512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224,330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235,689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Marketplace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61,144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64,775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68,436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72,173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76,021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premium and media</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42,652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45,185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47,739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50,346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53,030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23,599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24,793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26,048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27,366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28,751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Sleepy Face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325,734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342,221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359,539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377,732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396,846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QzoticMusic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26,446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27,785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29,191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30,668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32,220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LesPetitFilms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96,510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101,397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106,529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111,920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117,583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Learn Anglais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100,734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106,483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112,337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118,354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124,580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Fiefé</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72,612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76,287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80,147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84,203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88,463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Fiefé Design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45,241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47,531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49,936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52,463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55,117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OsezArt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173,732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182,884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192,381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202,281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212,632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FinBot research</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8,774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9,218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9,684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10,174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10,689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Functional Analysis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18,870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19,829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20,834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21,889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22,997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Independent candy game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7,549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7,931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8,332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8,754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9,196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recognized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3,338,291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3,496,297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3,660,074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3,830,496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4,008,264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refunds and credits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116,435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122,000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127,779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133,802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140,090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Less: promotional discounts credited after charge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10,256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10,775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11,893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12,495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revenue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3,211,600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3,363,521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3,520,974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3,684,802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3,855,679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delivery and professional fulfillment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865,288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918,986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975,614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1,035,474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1,098,840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Materials, production and fulfillment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307,014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325,789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345,674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366,752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389,103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External provider share — principal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288,720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303,816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319,486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335,835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352,939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Customer and learner support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206,620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219,853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233,704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248,265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263,620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Payment processing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132,420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138,827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145,418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152,237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159,322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1,800,063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1,907,271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2,019,896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2,138,564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2,263,825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Gross profit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1,411,537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1,456,251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1,501,079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1,546,238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1,591,854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Variable sales and marketing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161,784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169,557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177,625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186,030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194,803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Product-specific technology and operating costs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3,073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3,260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3,358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Launch samples and setup expenses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operations and financial administration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25,218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27,274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29,497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31,900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34,500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accounting and tax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25,218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27,274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29,497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31,900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34,500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campaign production support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16,812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18,182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19,664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21,267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23,000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quality and compliance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28,896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31,251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33,798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36,553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39,532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technical maintenance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23,117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25,001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27,038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29,242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31,625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Hosting and usage infrastructure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2,419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2,566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2,723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Business software and communications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1,661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1,711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1,762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1,815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Insurance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4,277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4,538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Legal and professional fees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6,451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6,644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7,049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7,260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Office and administrative costs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1,322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1,361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Licenses and registration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806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855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908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Travel and business development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1,661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1,711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1,762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1,815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Research and development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2,643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2,723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Founder preparation and coordination, if paid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304,591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322,791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342,099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362,621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384,462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 before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1,106,945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1,133,460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1,158,980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1,183,617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1,207,393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Depreciation and amortization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652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652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713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1,106,293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1,132,808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1,158,267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1,182,904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1,206,680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Interest expense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Other income / (expense)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Income / (loss) before tax</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1,106,293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1,132,808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1,158,267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1,182,904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1,206,680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Illustrative income tax provision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277,648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284,417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290,937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297,264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303,391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828,645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848,390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867,330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885,640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903,288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SUPPLEMENTARY MEASURES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customer transaction value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4,202,469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4,411,432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4,626,677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4,849,696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5,081,667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Required paid delivery and support hours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18,844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19,443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20,048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20,665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21,296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Unpaid founder preparation and coordination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51,606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53,155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54,749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56,392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58,083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Pretax earnings less unpaid labor allowance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1,054,686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1,079,653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1,103,518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1,126,512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1,148,596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income less unpaid allowance, no tax benefit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777,039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795,236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812,581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829,248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845,205</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Balance sheet Years 11 to 15</w:t>
      </w:r>
    </w:p>
    <w:p>
      <w:r>
        <w:t>Financial appendix | Base comparison scenario | USD rounded | Pro forma extension, not a validated forecast</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11</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12</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13</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14</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 — conditional on target transactions occurring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6,879,322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7,721,875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8,581,005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9,460,270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10,356,849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receivable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117,689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122,614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127,732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133,063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138,622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Inventory and prepaid materials —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25,584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27,149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28,806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30,563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32,425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current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7,022,596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7,871,638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8,737,543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9,623,895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10,527,896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6,887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9,026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9,026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9,026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accumulated depreciation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6,235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6,887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8,313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9,026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7,023,248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7,871,638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8,738,968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9,624,608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10,527,896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LIABILITIES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 no new financing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Paid-in capital — no new equity assumed</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Retained earnings / (accumulated losses)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7,023,248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7,871,638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8,738,968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9,624,608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10,527,896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equity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7,023,248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7,871,638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8,738,968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9,624,608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10,527,896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7,023,248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7,871,638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8,738,968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9,624,608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10,527,896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FUNDING RECONCILIATION — OUTSIDE THE STATEMENT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Assets less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Unfunded requirement — outside recognized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Accounting residual after identifying unfunded gap</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Cash flow statement Years 11 to 15</w:t>
      </w:r>
    </w:p>
    <w:p>
      <w:r>
        <w:t>Financial appendix | Base comparison scenario | USD rounded | Pro forma extension, not a validated forecast</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11</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12</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13</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14</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828,645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848,390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867,330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885,640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903,288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Add: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713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713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Change in receivables — cash effect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(5,117)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(5,331)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(5,560)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Change in inventory and prepayments — cash effect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(1,657)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(1,757)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(1,863)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Increase / (decrease) in 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operating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823,053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842,553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861,269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879,265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896,579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Purchase of capital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investing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(2,139)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Debt proceeds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principal repayments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Equity contributions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Distributions / dividends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cash from / (used in) financing activities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change before unresolved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823,053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842,553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859,130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879,265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896,579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Opening signed cash diagnostic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6,056,268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6,879,322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7,721,875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8,581,005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9,460,270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Closing signed cash diagnostic before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6,879,322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7,721,875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8,581,005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9,460,270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10,356,849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Nonnegative cash available in target balance sheet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6,879,322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7,721,875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8,581,005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9,460,270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10,356,849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Unfunded closing cash deficit — not arranged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Year 1 monthly pooled peak shortfall</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Cash-flow / balance-sheet cash reconciliation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Cash deficit / balance-sheet residual reconciliation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Income statement Years 16 to 20</w:t>
      </w:r>
    </w:p>
    <w:p>
      <w:r>
        <w:t>Financial appendix | Base comparison scenario | USD rounded | Pro forma extension, not a validated forecast</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16</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17</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18</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19</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ETV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64,513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67,434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70,492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73,694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77,048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ETV services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164,323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172,639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181,376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190,554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200,196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BPA professional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854,831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882,615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911,336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941,029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971,731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CornerFlow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31,739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33,372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35,080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36,868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38,743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Spindle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31,739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33,372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35,080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36,868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38,743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Maison Contour</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44,714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47,019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49,429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51,951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54,596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DishLoom US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40,869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42,987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45,199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47,512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49,935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Is Makes Travel Easy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69,269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72,843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76,578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80,488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84,586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Turbo Tax - Made Easy!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156,231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161,928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167,848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173,999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180,390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adult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85,903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89,469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93,193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97,080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101,140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LavaLearning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LavaLearning Kids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36,789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38,650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40,606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42,660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44,819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adult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69,666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73,191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76,894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80,785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84,873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VraiSkill teen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30,980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32,547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34,194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35,924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37,742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VraiSkill Model Life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Model Life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117,632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123,731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130,097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136,754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143,727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cleaning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364,119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382,582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401,965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422,319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443,698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laundry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56,436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59,298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62,302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65,457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68,771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Personal Chef</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101,893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107,062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112,488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118,185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124,168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interiors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131,570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138,247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145,256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152,616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160,345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concierge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47,706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50,121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52,657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55,322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58,121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administration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76,330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80,194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84,252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88,515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92,994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S’otality bike tours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40,757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42,825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44,995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47,274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49,667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S’otality editorial</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18,798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19,750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20,749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21,799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22,902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Tomato Odyssey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18,798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19,750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20,749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21,799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22,902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Studio</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247,618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260,150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273,314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287,144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301,674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Marketplace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80,007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84,155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88,485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93,013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97,756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Semajes premium and media</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55,810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58,704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61,724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64,883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68,191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Semajes courses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30,205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31,734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33,339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35,026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36,799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Sleepy Face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416,926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438,023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460,186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483,472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507,936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QzoticMusic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33,851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35,563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37,363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39,254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41,240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LesPetitFilms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123,533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129,784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136,351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143,250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150,498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Learn Anglais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131,053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137,805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144,865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152,257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160,005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Fiefé</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92,940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97,643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102,583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107,774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113,227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Fiefé Design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57,906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60,836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63,915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67,149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70,547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OsezArt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223,471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234,835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246,757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259,271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272,410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FinBot research</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11,230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11,798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12,395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13,023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13,682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Functional Analysis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24,161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25,384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26,668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28,018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29,436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Independent candy game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9,662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10,151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10,664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11,771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recognized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4,193,980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4,388,193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4,591,425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4,804,191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5,027,007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refunds and credits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146,666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153,547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160,752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168,299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176,207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Less: promotional discounts credited after charge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13,127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13,792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14,489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15,223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15,993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revenue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4,034,187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4,220,854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4,416,184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4,620,669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4,834,807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delivery and professional fulfillment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1,165,971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1,237,126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1,312,572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1,392,582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1,477,443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Materials, production and fulfillment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412,809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437,955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464,630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492,928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522,949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External provider share — principal services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370,866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389,674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409,417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430,149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451,924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Customer and learner support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279,843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297,006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315,180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334,437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354,849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Payment processing</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166,704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174,407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182,456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190,874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199,682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cost of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2,396,192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2,536,168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2,684,255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2,840,969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3,006,846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Gross profit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1,637,994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1,684,686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1,731,929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1,779,700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1,827,961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Variable sales and marketing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203,975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213,572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223,621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234,146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245,175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Product-specific technology and operating costs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3,459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3,562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3,669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3,893</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Launch samples and setup expenses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operations and financial administration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37,312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40,353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43,642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47,199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51,045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accounting and tax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37,312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40,353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43,642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47,199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51,045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campaign production support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24,875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26,902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29,095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31,466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34,030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Independent quality and compliance review</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42,754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46,238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50,006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54,082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58,489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Human technical maintenance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34,203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36,990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40,005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43,265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46,792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Hosting and usage infrastructure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2,804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2,888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2,975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3,064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3,156</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Business software and communications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1,870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1,983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2,043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2,104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Insurance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4,674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4,814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4,959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5,107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5,261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Legal and professional fees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7,478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7,703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7,934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8,172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8,417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Office and administrative costs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1,402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1,488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1,532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1,578</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Licenses and registration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935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1,021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Travel and business development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1,870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1,983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2,043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2,104</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Research and development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2,804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2,888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2,975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3,064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3,156</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Founder preparation and coordination, if paid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operating expenses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407,726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432,523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458,968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487,183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517,298</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 before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1,230,269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1,252,163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1,272,960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1,292,517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1,310,663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Depreciation and amortization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851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851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Operating income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1,229,490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1,251,384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1,272,181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1,291,665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1,309,811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Interest expense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Other income / (expense)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Income / (loss) before tax</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1,229,490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1,251,384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1,272,181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1,291,665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1,309,811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Illustrative income tax provision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309,294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314,985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320,420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325,548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330,362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920,196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936,400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951,761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966,118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979,449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margin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21.6%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20.3%</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SUPPLEMENTARY MEASURES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customer transaction value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5,323,576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5,576,288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5,840,596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6,117,254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6,406,999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Required paid delivery and support hours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21,942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22,605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23,286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23,987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24,709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Unpaid founder preparation and coordination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59,826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61,621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63,469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65,373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67,335</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Pretax earnings less unpaid labor allowance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1,169,664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1,189,763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1,208,712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1,226,292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1,242,477</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income less unpaid allowance, no tax benefit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860,370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874,779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888,292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900,744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912,114</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Balance sheet Years 16 to 20</w:t>
      </w:r>
    </w:p>
    <w:p>
      <w:r>
        <w:t>Financial appendix | Base comparison scenario | USD rounded | Pro forma extension, not a validated forecast</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16</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17</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18</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19</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 — conditional on target transactions occurring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11,267,708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12,196,733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13,140,724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14,096,174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15,067,071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receivable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144,425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150,483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156,810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163,417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170,319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Inventory and prepaid materials —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34,401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36,496</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38,719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41,077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43,579</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current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11,446,534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12,383,713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13,336,253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14,300,669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15,280,969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Gross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11,363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13,917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13,917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Less: accumulated depreciation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9,805</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10,584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11,363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12,214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13,065</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Net property and equipment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1,558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1,702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851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11,448,092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12,384,492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13,336,253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14,302,371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15,281,820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LIABILITIES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 no new financing assumed</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Paid-in capital — no new equity assumed</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Retained earnings / (accumulated losses)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11,448,092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12,384,492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13,336,253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14,302,371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15,281,820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Total equity</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11,448,092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12,384,492</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13,336,253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14,302,371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15,281,820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Total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11,448,092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12,384,492</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13,336,253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14,302,371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15,281,820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FUNDING RECONCILIATION — OUTSIDE THE STATEMENT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Assets less recognized liabilities and equity</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Unfunded requirement — outside recognized liabilities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Accounting residual after identifying unfunded gap</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Cash flow statement Years 16 to 20</w:t>
      </w:r>
    </w:p>
    <w:p>
      <w:r>
        <w:t>Financial appendix | Base comparison scenario | USD rounded | Pro forma extension, not a validated forecast</w:t>
      </w:r>
    </w:p>
    <w:tbl>
      <w:tblPr>
        <w:tblW w:type="auto" w:w="0"/>
        <w:jc w:val="center"/>
        <w:tblLayout w:type="fixed"/>
        <w:tblLook w:firstColumn="1" w:firstRow="1" w:lastColumn="0" w:lastRow="0" w:noHBand="0" w:noVBand="1" w:val="04A0"/>
      </w:tblPr>
      <w:tblGrid>
        <w:gridCol w:w="4032"/>
        <w:gridCol w:w="1238"/>
        <w:gridCol w:w="1238"/>
        <w:gridCol w:w="1238"/>
        <w:gridCol w:w="1238"/>
        <w:gridCol w:w="1238"/>
      </w:tblGrid>
      <w:tr>
        <w:trPr>
          <w:tblHeader/>
          <w:cantSplit/>
        </w:trPr>
        <w:tc>
          <w:tcPr>
            <w:tcW w:type="dxa" w:w="4032"/>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6"/>
              </w:rPr>
              <w:t>Line item</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16</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17</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18</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19</w:t>
            </w:r>
          </w:p>
        </w:tc>
        <w:tc>
          <w:tcPr>
            <w:tcW w:type="dxa" w:w="1238"/>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jc w:val="right"/>
            </w:pPr>
            <w:r>
              <w:rPr>
                <w:b/>
                <w:color w:val="FFFFFF"/>
                <w:sz w:val="16"/>
              </w:rPr>
              <w:t>Year 20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income / (loss)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920,196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936,400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951,761</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966,118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979,449</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Add: depreciation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779</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851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851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Change in receivables — cash effect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(5,803)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(6,058)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(6,326)</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(6,607)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(6,902)</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Change in inventory and prepayments — cash effect</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(1,975)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(2,095)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(2,223)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(2,358)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(2,502)</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accounts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Increase / (decrease) in deferred revenue</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Increase / (decrease) in income tax payable</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operating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913,197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929,025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943,991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958,003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970,897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Purchase of capital assets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(2,337)</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(2,554)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cash from / (used in) investing activities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(2,337)</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(2,554)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Debt proceeds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Debt principal repayments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Equity contributions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Distributions / dividends</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color w:val="000000"/>
                <w:sz w:val="16"/>
              </w:rPr>
              <w:t>Net cash from / (used in) financing activities</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Net change before unresolved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910,860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929,025</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943,991</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955,450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970,897</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Opening signed cash diagnostic</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10,356,849</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11,267,708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12,196,733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13,140,724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14,096,174</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color w:val="000000"/>
                <w:sz w:val="16"/>
              </w:rPr>
              <w:t>Closing signed cash diagnostic before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11,267,708</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12,196,733</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13,140,724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14,096,174</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color w:val="000000"/>
                <w:sz w:val="16"/>
              </w:rPr>
              <w:t>15,067,071</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Nonnegative cash available in target balance sheet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11,267,708</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12,196,733</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13,140,724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14,096,174</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15,067,071</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Unfunded closing cash deficit — not arranged financing</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Year 1 monthly pooled peak shortfall</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w:t>
            </w:r>
          </w:p>
        </w:tc>
      </w:tr>
      <w:tr>
        <w:trPr>
          <w:cantSplit/>
        </w:trPr>
        <w:tc>
          <w:tcPr>
            <w:tcW w:type="dxa" w:w="4032"/>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6"/>
              </w:rPr>
              <w:t>Cash-flow / balance-sheet cash reconciliation</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jc w:val="right"/>
            </w:pPr>
            <w:r>
              <w:rPr>
                <w:b w:val="0"/>
                <w:color w:val="000000"/>
                <w:sz w:val="16"/>
              </w:rPr>
              <w:t>0</w:t>
            </w:r>
          </w:p>
        </w:tc>
      </w:tr>
      <w:tr>
        <w:trPr>
          <w:cantSplit/>
        </w:trPr>
        <w:tc>
          <w:tcPr>
            <w:tcW w:type="dxa" w:w="4032"/>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6"/>
              </w:rPr>
              <w:t>Cash deficit / balance-sheet residual reconciliation</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c>
          <w:tcPr>
            <w:tcW w:type="dxa" w:w="1238"/>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jc w:val="right"/>
            </w:pPr>
            <w:r>
              <w:rPr>
                <w:b w:val="0"/>
                <w:color w:val="000000"/>
                <w:sz w:val="16"/>
              </w:rPr>
              <w:t>0</w:t>
            </w:r>
          </w:p>
        </w:tc>
      </w:tr>
    </w:tbl>
    <w:p>
      <w:pPr>
        <w:spacing w:before="100"/>
      </w:pPr>
      <w:r>
        <w:t>Unchanged frozen sales and cost hypotheses. Opening balances and settlement timing are scenario assumptions. Annual positive cash does not resolve the initial monthly funding gap. Funding is not established. See the financial companion for formulas, checks, sensitivities and exclusions.</w:t>
      </w:r>
    </w:p>
    <w:p>
      <w:pPr>
        <w:pStyle w:val="Heading1"/>
        <w:pageBreakBefore/>
      </w:pPr>
      <w:r>
        <w:t>Accounting assumptions and financial interpretation</w:t>
      </w:r>
    </w:p>
    <w:p>
      <w:r>
        <w:t>These are new explicit accounting classifications for a conditional target scenario. They preserve the frozen comparison amounts; they do not represent a verified opening enterprise ledger or legal entity consolidation.</w:t>
      </w:r>
    </w:p>
    <w:tbl>
      <w:tblPr>
        <w:tblW w:type="auto" w:w="0"/>
        <w:jc w:val="center"/>
        <w:tblLayout w:type="fixed"/>
        <w:tblLook w:firstColumn="1" w:firstRow="1" w:lastColumn="0" w:lastRow="0" w:noHBand="0" w:noVBand="1" w:val="04A0"/>
      </w:tblPr>
      <w:tblGrid>
        <w:gridCol w:w="2160"/>
        <w:gridCol w:w="8064"/>
      </w:tblGrid>
      <w:tr>
        <w:trPr>
          <w:tblHeader/>
          <w:cantSplit/>
        </w:trPr>
        <w:tc>
          <w:tcPr>
            <w:tcW w:type="dxa" w:w="216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Assumption</w:t>
            </w:r>
          </w:p>
        </w:tc>
        <w:tc>
          <w:tcPr>
            <w:tcW w:type="dxa" w:w="806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Treatment</w:t>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Opening balances</w:t>
            </w:r>
          </w:p>
        </w:tc>
        <w:tc>
          <w:tcPr>
            <w:tcW w:type="dxa" w:w="80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Zero scenario opening cash, receivables, inventory, assets, liabilities and equity. Actual balances unknown.</w:t>
            </w:r>
          </w:p>
        </w:tc>
      </w:tr>
      <w:tr>
        <w:trPr>
          <w:cantSplit/>
        </w:trPr>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Settlement</w:t>
            </w:r>
          </w:p>
        </w:tc>
        <w:tc>
          <w:tcPr>
            <w:tcW w:type="dxa" w:w="80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Vendor costs paid as incurred, no advance billing, illustrative tax settled at year end. AP, deferred revenue and tax payable therefore zero by assumption.</w:t>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Working capital</w:t>
            </w:r>
          </w:p>
        </w:tc>
        <w:tc>
          <w:tcPr>
            <w:tcW w:type="dxa" w:w="80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Receivables follow frozen collection lags. One month of materials is treated as paid inventory or prepayments, not merely cash earmarked for future spending.</w:t>
            </w:r>
          </w:p>
        </w:tc>
      </w:tr>
      <w:tr>
        <w:trPr>
          <w:cantSplit/>
        </w:trPr>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Capital assets</w:t>
            </w:r>
          </w:p>
        </w:tc>
        <w:tc>
          <w:tcPr>
            <w:tcW w:type="dxa" w:w="80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Initial $1,500 allowance with three year straight line depreciation. Actual asset class and in service evidence unverified. No additional development capitalization assumed.</w:t>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Financing</w:t>
            </w:r>
          </w:p>
        </w:tc>
        <w:tc>
          <w:tcPr>
            <w:tcW w:type="dxa" w:w="80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No new debt, equity or distributions inserted to balance the model. Any deficit is an unresolved funding need outside recognized liabilities.</w:t>
            </w:r>
          </w:p>
        </w:tc>
      </w:tr>
      <w:tr>
        <w:trPr>
          <w:cantSplit/>
        </w:trPr>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Tax</w:t>
            </w:r>
          </w:p>
        </w:tc>
        <w:tc>
          <w:tcPr>
            <w:tcW w:type="dxa" w:w="80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Illustrative 25% calculation by reporting family profit and loss pools; not a legal entity tax computation or effective tax rate guarantee.</w:t>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Cash flow signs</w:t>
            </w:r>
          </w:p>
        </w:tc>
        <w:tc>
          <w:tcPr>
            <w:tcW w:type="dxa" w:w="80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Working capital increases and capital purchases are presented as signed cash outflows in parentheses. Net totals remain identical to the companion model.</w:t>
            </w:r>
          </w:p>
        </w:tc>
      </w:tr>
      <w:tr>
        <w:trPr>
          <w:cantSplit/>
        </w:trPr>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Forecast horizon</w:t>
            </w:r>
          </w:p>
        </w:tc>
        <w:tc>
          <w:tcPr>
            <w:tcW w:type="dxa" w:w="80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20 total indexed years. Years 1–10 detailed assumptions and Years 11–20 long range pro forma, not 20 additional years.</w:t>
            </w:r>
          </w:p>
        </w:tc>
      </w:tr>
    </w:tbl>
    <w:p>
      <w:pPr>
        <w:spacing w:before="100"/>
      </w:pPr>
      <w:r>
        <w:t>The cash-flow statement and balance sheet reconcile annually in the Base scenario, but monthly startup funding remains unmet. The accounting equality therefore establishes mathematical consistency only. Completion requires actual opening balances, funding/sequence evidence, accepted capacity, exact-version readiness and priced remaining development.</w:t>
      </w:r>
    </w:p>
    <w:p>
      <w:pPr>
        <w:pStyle w:val="Heading1"/>
        <w:pageBreakBefore/>
      </w:pPr>
      <w:r>
        <w:t>Red Alert Functional Analysis and games coverage</w:t>
      </w:r>
    </w:p>
    <w:p>
      <w:r>
        <w:t>FA and both candy editions are visible; Red Alert is only partially explicit. Named ETV/teen templates and four unnamed Kids candidates require narrative coverage and reconciliation, not an all-covered claim.</w:t>
      </w:r>
    </w:p>
    <w:p>
      <w:r>
        <w:t>This targeted reconciliation does not certify that every enterprise product is known. Unquantified means economics remain unknown, not that the activity costs nothing. No new revenue has been added to the frozen baseline.</w:t>
      </w:r>
    </w:p>
    <w:p>
      <w:pPr>
        <w:pStyle w:val="Heading2"/>
        <w:spacing w:before="140" w:after="100"/>
      </w:pPr>
      <w:r>
        <w:t>Functional Analysis</w:t>
      </w:r>
    </w:p>
    <w:p>
      <w:pPr>
        <w:spacing w:after="60"/>
      </w:pPr>
      <w:r>
        <w:t>explicit modeled hypothesis | DOT-124, DOT-125</w:t>
      </w:r>
    </w:p>
    <w:p>
      <w:pPr>
        <w:spacing w:after="80"/>
      </w:pPr>
      <w:r>
        <w:t>Unvalidated reflection/entertainment; not scientific, medical or hiring assessment. Personal license $19; facilitated reflection/export $99 are Dot assumptions, not approved prices or launch evidence.</w:t>
      </w:r>
    </w:p>
    <w:p>
      <w:pPr>
        <w:pStyle w:val="Heading2"/>
        <w:spacing w:before="140" w:after="100"/>
      </w:pPr>
      <w:r>
        <w:t>Independent candy game   HueHunch / ColorCircle provisional naming</w:t>
      </w:r>
    </w:p>
    <w:p>
      <w:pPr>
        <w:spacing w:after="60"/>
      </w:pPr>
      <w:r>
        <w:t>explicit modeled hypothesis | DOT-126</w:t>
      </w:r>
    </w:p>
    <w:p>
      <w:pPr>
        <w:spacing w:after="80"/>
      </w:pPr>
      <w:r>
        <w:t>Private independent edition; name unresolved. Primary chat says HueHunch; catalog says ColorCircle. Reconcile as one independent edition, not two incremental games. Skittles compatibility is a color profile, not a license. $4.99 is Dot assumption.</w:t>
      </w:r>
    </w:p>
    <w:p>
      <w:pPr>
        <w:pStyle w:val="Heading2"/>
        <w:spacing w:before="140" w:after="100"/>
      </w:pPr>
      <w:r>
        <w:t>M&amp;M manufacturer-branded game/pitch</w:t>
      </w:r>
    </w:p>
    <w:p>
      <w:pPr>
        <w:spacing w:after="60"/>
      </w:pPr>
      <w:r>
        <w:t>explicit nonrevenue | nonrevenue[9]</w:t>
      </w:r>
    </w:p>
    <w:p>
      <w:pPr>
        <w:spacing w:after="80"/>
      </w:pPr>
      <w:r>
        <w:t>Separate private manufacturer edition; no manufacturer agreement. Manufacturer sale/lease/rent/license and ad/media-space routes are user-requested opportunities but not quantified or approved in frozen model. Remote play, community, bag tracking and ad serving were not delivered in reviewed chat.</w:t>
      </w:r>
    </w:p>
    <w:p>
      <w:pPr>
        <w:pStyle w:val="Heading2"/>
        <w:spacing w:before="140" w:after="100"/>
      </w:pPr>
      <w:r>
        <w:t>VraiSkill Red Alert production program</w:t>
      </w:r>
    </w:p>
    <w:p>
      <w:pPr>
        <w:spacing w:after="60"/>
      </w:pPr>
      <w:r>
        <w:t>explicit nonrevenue | FIN-12, nonrevenue[3]</w:t>
      </w:r>
    </w:p>
    <w:p>
      <w:pPr>
        <w:spacing w:after="80"/>
      </w:pPr>
      <w:r>
        <w:t>Production/support lane only. No incremental sale. Generic adult/teen sales pools DOT-054–056 do not establish title-level Red Alert economics.</w:t>
      </w:r>
    </w:p>
    <w:p>
      <w:pPr>
        <w:pStyle w:val="Heading2"/>
        <w:spacing w:before="140" w:after="100"/>
      </w:pPr>
      <w:r>
        <w:t>VraiSkill teen Red Alert  Evidence Lab</w:t>
      </w:r>
    </w:p>
    <w:p>
      <w:pPr>
        <w:spacing w:after="60"/>
      </w:pPr>
      <w:r>
        <w:t>named template missing explicit catalog row | FIN-12 program only; no title-specific driver</w:t>
      </w:r>
    </w:p>
    <w:p>
      <w:pPr>
        <w:spacing w:after="80"/>
      </w:pPr>
      <w:r>
        <w:t>Reusable sample format; distinct from regular T07/T09. Do not call approved/released based on template preparation. Proposed future economics may fit DOT-056 but current map does not prove allocation.</w:t>
      </w:r>
    </w:p>
    <w:p>
      <w:pPr>
        <w:pStyle w:val="Heading2"/>
        <w:spacing w:before="140" w:after="100"/>
      </w:pPr>
      <w:r>
        <w:t>VraiSkill teen Red Alert  Language Studio</w:t>
      </w:r>
    </w:p>
    <w:p>
      <w:pPr>
        <w:spacing w:after="60"/>
      </w:pPr>
      <w:r>
        <w:t>named template missing explicit catalog row | FIN-12 program only; no title-specific driver</w:t>
      </w:r>
    </w:p>
    <w:p>
      <w:pPr>
        <w:spacing w:after="80"/>
      </w:pPr>
      <w:r>
        <w:t>Reusable sample format; distinct from regular T07/T09. Do not call approved/released based on template preparation. Proposed future economics may fit DOT-056 but current map does not prove allocation.</w:t>
      </w:r>
    </w:p>
    <w:p>
      <w:pPr>
        <w:pStyle w:val="Heading2"/>
        <w:spacing w:before="140" w:after="100"/>
      </w:pPr>
      <w:r>
        <w:t>ETV RED ALERT!   When the answer must stop</w:t>
      </w:r>
    </w:p>
    <w:p>
      <w:pPr>
        <w:spacing w:after="60"/>
      </w:pPr>
      <w:r>
        <w:t>named template missing explicit catalog row | No named model driver</w:t>
      </w:r>
    </w:p>
    <w:p>
      <w:pPr>
        <w:spacing w:after="80"/>
      </w:pPr>
      <w:r>
        <w:t>Working interactive lesson in 29 September record. ETV ordinary 20-course inventory is DOT-001/002; no evidence these 3 templates are separate paid offers or included in those 20. Historical readiness does not reverse later ETV public release.</w:t>
      </w:r>
    </w:p>
    <w:p>
      <w:pPr>
        <w:pStyle w:val="Heading2"/>
        <w:spacing w:before="140" w:after="100"/>
      </w:pPr>
      <w:r>
        <w:t>ETV Signal-to-skill brief</w:t>
      </w:r>
    </w:p>
    <w:p>
      <w:pPr>
        <w:spacing w:after="60"/>
      </w:pPr>
      <w:r>
        <w:t>named template missing explicit catalog row | No named model driver</w:t>
      </w:r>
    </w:p>
    <w:p>
      <w:pPr>
        <w:spacing w:after="80"/>
      </w:pPr>
      <w:r>
        <w:t>Template concept, not built in 29 September record. ETV ordinary 20-course inventory is DOT-001/002; no evidence these 3 templates are separate paid offers or included in those 20. Historical readiness does not reverse later ETV public release.</w:t>
      </w:r>
    </w:p>
    <w:p>
      <w:pPr>
        <w:pStyle w:val="Heading2"/>
        <w:spacing w:before="140" w:after="100"/>
      </w:pPr>
      <w:r>
        <w:t>ETV Intake decision lab</w:t>
      </w:r>
    </w:p>
    <w:p>
      <w:pPr>
        <w:spacing w:after="60"/>
      </w:pPr>
      <w:r>
        <w:t>named template missing explicit catalog row | No named model driver</w:t>
      </w:r>
    </w:p>
    <w:p>
      <w:pPr>
        <w:spacing w:after="80"/>
      </w:pPr>
      <w:r>
        <w:t>Template concept, not built in 29 September record. ETV ordinary 20-course inventory is DOT-001/002; no evidence these 3 templates are separate paid offers or included in those 20. Historical readiness does not reverse later ETV public release.</w:t>
      </w:r>
    </w:p>
    <w:p>
      <w:pPr>
        <w:pStyle w:val="Heading2"/>
        <w:spacing w:before="140" w:after="100"/>
      </w:pPr>
      <w:r>
        <w:t>LavaLearning adult Red Alert rapid-demand program</w:t>
      </w:r>
    </w:p>
    <w:p>
      <w:pPr>
        <w:spacing w:after="60"/>
      </w:pPr>
      <w:r>
        <w:t>program not separately quantified | DOT-046–051 related ordinary offers only</w:t>
      </w:r>
    </w:p>
    <w:p>
      <w:pPr>
        <w:spacing w:after="80"/>
      </w:pPr>
      <w:r>
        <w:t>Standing 120-topic charter distinct from rapid-demand lane. 60 named TTME/LavaLearning mini-courses are mapped, but mini-course does not mean qualified Red Alert. No extra revenue justified from the label.</w:t>
      </w:r>
    </w:p>
    <w:p>
      <w:pPr>
        <w:pStyle w:val="Heading2"/>
        <w:spacing w:before="140" w:after="100"/>
      </w:pPr>
      <w:r>
        <w:t>Turbo Tax–Made Easy! Red Alert screen  year-and-record readiness before 2027 filing</w:t>
      </w:r>
    </w:p>
    <w:p>
      <w:pPr>
        <w:spacing w:after="60"/>
      </w:pPr>
      <w:r>
        <w:t>screened opportunity; not qualified | No named model driver</w:t>
      </w:r>
    </w:p>
    <w:p>
      <w:pPr>
        <w:spacing w:after="80"/>
      </w:pPr>
      <w:r>
        <w:t>21 October bounded screen 32/100; no qualification. Ordinary T01–T03 accepted-slate lessons are not Red Alerts. Threshold 75 plus 3 independent signals.</w:t>
      </w:r>
    </w:p>
    <w:p>
      <w:pPr>
        <w:pStyle w:val="Heading2"/>
        <w:spacing w:before="140" w:after="100"/>
      </w:pPr>
      <w:r>
        <w:t>Turbo Tax–Made Easy! Red Alert screen  verify unexpected tax-refund or debt messages</w:t>
      </w:r>
    </w:p>
    <w:p>
      <w:pPr>
        <w:spacing w:after="60"/>
      </w:pPr>
      <w:r>
        <w:t>screened opportunity; not qualified | No named model driver</w:t>
      </w:r>
    </w:p>
    <w:p>
      <w:pPr>
        <w:spacing w:after="80"/>
      </w:pPr>
      <w:r>
        <w:t>21 October bounded screen 29/100; no qualification. Bounded screen only, not exhaustive search or proof no market demand.</w:t>
      </w:r>
    </w:p>
    <w:p>
      <w:pPr>
        <w:pStyle w:val="Heading2"/>
        <w:spacing w:before="140" w:after="100"/>
      </w:pPr>
      <w:r>
        <w:t>LavaLearning Kids Red Alert program / four reported candidates</w:t>
      </w:r>
    </w:p>
    <w:p>
      <w:pPr>
        <w:spacing w:after="60"/>
      </w:pPr>
      <w:r>
        <w:t>coverage unresolved; no title-level mapping | DOT-053 ordinary 20-course pool only</w:t>
      </w:r>
    </w:p>
    <w:p>
      <w:pPr>
        <w:spacing w:after="80"/>
      </w:pPr>
      <w:r>
        <w:t>Four candidates reported in Design; names not recovered. Cannot assert four candidates are included in 20 catalog courses. Kids trigger 80–100 and 90% source confidence is separate from adult threshold 75. Private production does not establish clearance.</w:t>
      </w:r>
    </w:p>
    <w:p>
      <w:pPr>
        <w:pStyle w:val="Heading2"/>
        <w:spacing w:before="140" w:after="100"/>
      </w:pPr>
      <w:r>
        <w:t>Embedded learning games  LavaLearning/VraiSkill</w:t>
      </w:r>
    </w:p>
    <w:p>
      <w:pPr>
        <w:spacing w:after="60"/>
      </w:pPr>
      <w:r>
        <w:t>bundled feature opportunities | DOT-053–056 related host pools</w:t>
      </w:r>
    </w:p>
    <w:p>
      <w:pPr>
        <w:spacing w:after="80"/>
      </w:pPr>
      <w:r>
        <w:t>User-authorized exploration subject to process-owner approval. No individually named standalone game beyond candy editions verified. Do not invent separate customers/revenue for course game mechanics.</w:t>
      </w:r>
    </w:p>
    <w:p>
      <w:pPr>
        <w:pStyle w:val="Heading2"/>
        <w:spacing w:before="140" w:after="100"/>
      </w:pPr>
      <w:r>
        <w:t>Model Life travel games / editorial-versus-commercial photo curation challenge</w:t>
      </w:r>
    </w:p>
    <w:p>
      <w:pPr>
        <w:spacing w:after="60"/>
      </w:pPr>
      <w:r>
        <w:t>feature opportunity; not standalone quantified | DOT-058–062 host subscriptions; no game-specific driver</w:t>
      </w:r>
    </w:p>
    <w:p>
      <w:pPr>
        <w:spacing w:after="80"/>
      </w:pPr>
      <w:r>
        <w:t>Proposed embedded experience; process-owner approval required. Existing 15 authoring-only course modules and subscription features are not additive game revenue.</w:t>
      </w:r>
    </w:p>
    <w:p>
      <w:pPr>
        <w:pStyle w:val="Heading2"/>
        <w:spacing w:before="140" w:after="100"/>
      </w:pPr>
      <w:r>
        <w:t>Learn_Anglais embedded games</w:t>
      </w:r>
    </w:p>
    <w:p>
      <w:pPr>
        <w:spacing w:after="60"/>
      </w:pPr>
      <w:r>
        <w:t>feature opportunity; not standalone quantified | No named model driver</w:t>
      </w:r>
    </w:p>
    <w:p>
      <w:pPr>
        <w:spacing w:after="80"/>
      </w:pPr>
      <w:r>
        <w:t>Exploration authorized, subject to host owner; no named standalone game verified. Host conversation-session revenue exists in model; no evidenced incremental game entitlement or price.</w:t>
      </w:r>
    </w:p>
    <w:p>
      <w:pPr>
        <w:pStyle w:val="Heading1"/>
        <w:pageBreakBefore/>
      </w:pPr>
      <w:r>
        <w:t>Owner business plan acceptance requirements</w:t>
      </w:r>
    </w:p>
    <w:p>
      <w:r>
        <w:t>Globe-inspired owner structure with enterprise-specific additions. All criteria remain awaiting owner submission and IA review; the checklist is not an approval record.</w:t>
      </w:r>
    </w:p>
    <w:tbl>
      <w:tblPr>
        <w:tblW w:type="auto" w:w="0"/>
        <w:jc w:val="center"/>
        <w:tblLayout w:type="fixed"/>
        <w:tblLook w:firstColumn="1" w:firstRow="1" w:lastColumn="0" w:lastRow="0" w:noHBand="0" w:noVBand="1" w:val="04A0"/>
      </w:tblPr>
      <w:tblGrid>
        <w:gridCol w:w="864"/>
        <w:gridCol w:w="2160"/>
        <w:gridCol w:w="7200"/>
      </w:tblGrid>
      <w:tr>
        <w:trPr>
          <w:tblHeader/>
          <w:cantSplit/>
        </w:trPr>
        <w:tc>
          <w:tcPr>
            <w:tcW w:type="dxa" w:w="864"/>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7"/>
              </w:rPr>
              <w:t>ID</w:t>
            </w:r>
          </w:p>
        </w:tc>
        <w:tc>
          <w:tcPr>
            <w:tcW w:type="dxa" w:w="216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7"/>
              </w:rPr>
              <w:t>Requirement</w:t>
            </w:r>
          </w:p>
        </w:tc>
        <w:tc>
          <w:tcPr>
            <w:tcW w:type="dxa" w:w="7200"/>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7"/>
              </w:rPr>
              <w:t>Acceptance evidence</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BP-01</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Scope and charter</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Named accountable owner; approved charter evidence; full child product, course, game, service and project inventory; aliases, paused items, overlaps and exclusions reconciled.</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BP-02</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Executive case</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Mission, customer problem, value proposition, launch stage, objectives and explicit decisions requested.</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BP-03</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Market and niche</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Dated market evidence, segmentation, reachable market, customer research, niche, competitors and substitutes; no unsupported market share.</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BP-04</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Product and delivery</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Offerings, differentiation, roadmap, delivery workflow, quality and accessibility acceptance, capacity, dependencies and support.</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BP-05</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Marketing and advertising</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Audience, channels, campaigns, funnel assumptions, CAC method, spend, owner, schedule and measurable outcomes; $0 restrictions honored.</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BP-06</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Sales and pricing</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Approved launch-price evidence and SKU mapping; price, quote or free state; discounts, refunds, tax treatment, unit costs, contribution margin and conversion metrics. Proposed changes separated from approved prices.</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BP-07</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Operations and people</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Delivery responsibilities, resources, shared-service allocations, suppliers, capacity, control ownership and escalation.</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BP-08</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Projects and milestones</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Dated deliverables, dependencies, test evidence, acceptance owner, go-live versus feasibility/paused states and corrective action route.</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BP-09</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Financial assumptions</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Explicit source-versus-assumption register for volume, price, retention, cost, timing, funding and growth; no invented owner endorsement or external funding.</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BP-10</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Income statement</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Professional line-by-line revenue, contra revenue, net revenue, direct cost, gross profit, operating costs, EBITDA, depreciation/amortization, operating profit, interest, tax and net income; formulas and classification reconciled.</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BP-11</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Balance sheet</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Cash, receivables, inventory/prepaids, fixed assets and depreciation, liabilities, deferred revenue, debt, capital and retained earnings; assets equal liabilities plus equity every period.</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BP-12</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Cash flow</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Operating, investing and financing cash flow; ending cash equals balance-sheet cash; capex not expensed twice; working capital and deferred revenue reconcile.</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BP-13</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Financial horizon and cases</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Ten-year financial forecast and proforma through Year 20 total, with Years 1–5 summary and operating detail sufficient to test cash timing; base/downside/upside sensitivities and break-even.</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BP-14</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Budget and uplift</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Owner original budget embedded in BP; AF&amp;I separately derives 20% target uplift with defined baseline and driver bridge; no automatic 20% inflation of every cost. M&amp;A and Sales strategies reconcile to resource capacity and cash.</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BP-15</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Consolidation</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Common calendar/currency, intercompany eliminations, shared cost allocation, no duplicate streams, retained earnings and opening balances reconciled; unknowns not treated as zero.</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BP-16</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Risk and compliance</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Risk register, privacy/security, IP/licensing, sector/jurisdiction requirements, legal decisions and mitigations; separate legal approval from IA completeness review.</w:t>
            </w:r>
          </w:p>
        </w:tc>
      </w:tr>
      <w:tr>
        <w:trPr>
          <w:cantSplit/>
        </w:trPr>
        <w:tc>
          <w:tcPr>
            <w:tcW w:type="dxa" w:w="864"/>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BP-17</w:t>
            </w:r>
          </w:p>
        </w:tc>
        <w:tc>
          <w:tcPr>
            <w:tcW w:type="dxa" w:w="216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Evidence and approval</w:t>
            </w:r>
          </w:p>
        </w:tc>
        <w:tc>
          <w:tcPr>
            <w:tcW w:type="dxa" w:w="7200"/>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7"/>
              </w:rPr>
              <w:t>Version/hash, source links, owner attestation, review findings, remediation and retest evidence; reviewer named and independent where required. No invented signature, approval or continuous execution.</w:t>
            </w:r>
          </w:p>
        </w:tc>
      </w:tr>
      <w:tr>
        <w:trPr>
          <w:cantSplit/>
        </w:trPr>
        <w:tc>
          <w:tcPr>
            <w:tcW w:type="dxa" w:w="864"/>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BP-18</w:t>
            </w:r>
          </w:p>
        </w:tc>
        <w:tc>
          <w:tcPr>
            <w:tcW w:type="dxa" w:w="216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Follow-through</w:t>
            </w:r>
          </w:p>
        </w:tc>
        <w:tc>
          <w:tcPr>
            <w:tcW w:type="dxa" w:w="7200"/>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7"/>
              </w:rPr>
              <w:t>Each objective linked to baseline, target, formula, data source, owner, milestone, review frequency, actual, variance, corrective action and closure evidence.</w:t>
            </w:r>
          </w:p>
        </w:tc>
      </w:tr>
    </w:tbl>
    <w:p>
      <w:pPr>
        <w:pStyle w:val="Heading1"/>
        <w:pageBreakBefore/>
      </w:pPr>
      <w:r>
        <w:t>Owner comparison and decision record</w:t>
      </w:r>
    </w:p>
    <w:p>
      <w:r>
        <w:t>The next useful result is an evidence-based comparison between this enterprise hypothesis and the plans prepared by the actual product-line owners. The owners are not required to match Dot's figures.</w:t>
      </w:r>
    </w:p>
    <w:p>
      <w:r>
        <w:t>Each owner submission should describe its market, competitors, niche, product, marketing and advertising, sales approach, projects, resources, risks, original budget and integrated income statement, balance sheet and cash-flow statement. Ten-year financials and a pro forma extension through Year 20 remain the requested horizon. The plan must explain its assumptions and connect them to customer evidence and delivery capacity.</w:t>
      </w:r>
    </w:p>
    <w:p>
      <w:r>
        <w:t>The comparison should first align definitions: product scope, unit, price edition, gross versus net revenue, launch period, staffing and cost treatment. Only then should numerical variances be interpreted. A lower owner forecast may be better supported than Dot's target; a higher forecast may be credible if its channel, capacity and funding are demonstrated.</w:t>
      </w:r>
    </w:p>
    <w:p>
      <w:r>
        <w:t>The available coordination route has not established receipt of the latest owner redo instructions. No owner submission, acceptance or approval is created by this document. The October 30 owner-plan target remains an owner direction, not a verified commitment from every department.</w:t>
      </w:r>
    </w:p>
    <w:p>
      <w:r>
        <w:t>The prepared coordination register contains 37 planning scopes and 26 shared functions; those scopes do not equal the 39 financial reporting families. The 18 acceptance criteria create 666 scope-review cells, all awaiting review. Seventeen role-addressed messages are prepared but not delivered, and nine scope-to-individual-owner mappings remain unresolved. Readable conversations do not establish a writable handoff route. These are prepared controls, not owner adoption or IA clearance.</w:t>
      </w:r>
    </w:p>
    <w:tbl>
      <w:tblPr>
        <w:tblW w:type="auto" w:w="0"/>
        <w:jc w:val="center"/>
        <w:tblLayout w:type="fixed"/>
        <w:tblLook w:firstColumn="1" w:firstRow="1" w:lastColumn="0" w:lastRow="0" w:noHBand="0" w:noVBand="1" w:val="04A0"/>
      </w:tblPr>
      <w:tblGrid>
        <w:gridCol w:w="2921"/>
        <w:gridCol w:w="7303"/>
      </w:tblGrid>
      <w:tr>
        <w:trPr>
          <w:tblHeader/>
          <w:cantSplit/>
        </w:trPr>
        <w:tc>
          <w:tcPr>
            <w:tcW w:type="dxa" w:w="2921"/>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Comparison field</w:t>
            </w:r>
          </w:p>
        </w:tc>
        <w:tc>
          <w:tcPr>
            <w:tcW w:type="dxa" w:w="7303"/>
            <w:vAlign w:val="center"/>
            <w:tcBorders>
              <w:top w:val="single" w:sz="4" w:color="D9D9D9"/>
              <w:left w:val="single" w:sz="4" w:color="D9D9D9"/>
              <w:bottom w:val="single" w:sz="4" w:color="D9D9D9"/>
              <w:right w:val="single" w:sz="4" w:color="D9D9D9"/>
            </w:tcBorders>
            <w:shd w:fill="263746"/>
            <w:tcMar>
              <w:top w:w="70" w:type="dxa"/>
              <w:bottom w:w="70" w:type="dxa"/>
              <w:left w:w="70" w:type="dxa"/>
              <w:right w:w="70" w:type="dxa"/>
            </w:tcMar>
          </w:tcPr>
          <w:p>
            <w:pPr>
              <w:spacing w:after="20" w:line="247" w:lineRule="auto"/>
            </w:pPr>
            <w:r>
              <w:rPr>
                <w:b/>
                <w:color w:val="FFFFFF"/>
                <w:sz w:val="18"/>
              </w:rPr>
              <w:t>Required explanation</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Scope and coverage</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Which products, games, courses and included components are modeled or excluded, and why</w:t>
            </w:r>
          </w:p>
        </w:tc>
      </w:tr>
      <w:tr>
        <w:trPr>
          <w:cantSplit/>
        </w:trPr>
        <w:tc>
          <w:tcPr>
            <w:tcW w:type="dxa" w:w="2921"/>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Price and volume</w:t>
            </w:r>
          </w:p>
        </w:tc>
        <w:tc>
          <w:tcPr>
            <w:tcW w:type="dxa" w:w="730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Source of price authority, customer count, repeat frequency, conversion and operating months</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Costs and capacity</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Accepted quotes, paid/unpaid work, scarce skills, support and rework</w:t>
            </w:r>
          </w:p>
        </w:tc>
      </w:tr>
      <w:tr>
        <w:trPr>
          <w:cantSplit/>
        </w:trPr>
        <w:tc>
          <w:tcPr>
            <w:tcW w:type="dxa" w:w="2921"/>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Financial position</w:t>
            </w:r>
          </w:p>
        </w:tc>
        <w:tc>
          <w:tcPr>
            <w:tcW w:type="dxa" w:w="730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Opening balances, working capital, restricted cash, liabilities and required funding</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Revenue and profit variance</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Quantify price, volume, timing, mix and cost effects without changing the frozen baseline</w:t>
            </w:r>
          </w:p>
        </w:tc>
      </w:tr>
      <w:tr>
        <w:trPr>
          <w:cantSplit/>
        </w:trPr>
        <w:tc>
          <w:tcPr>
            <w:tcW w:type="dxa" w:w="2921"/>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Review and ownership</w:t>
            </w:r>
          </w:p>
        </w:tc>
        <w:tc>
          <w:tcPr>
            <w:tcW w:type="dxa" w:w="7303"/>
            <w:vAlign w:val="center"/>
            <w:tcBorders>
              <w:top w:val="single" w:sz="4" w:color="D9D9D9"/>
              <w:left w:val="single" w:sz="4" w:color="D9D9D9"/>
              <w:bottom w:val="single" w:sz="4" w:color="D9D9D9"/>
              <w:right w:val="single" w:sz="4" w:color="D9D9D9"/>
            </w:tcBorders>
            <w:shd w:fill="F3F5F7"/>
            <w:tcMar>
              <w:top w:w="70" w:type="dxa"/>
              <w:bottom w:w="70" w:type="dxa"/>
              <w:left w:w="70" w:type="dxa"/>
              <w:right w:w="70" w:type="dxa"/>
            </w:tcMar>
          </w:tcPr>
          <w:p>
            <w:pPr>
              <w:spacing w:after="20" w:line="247" w:lineRule="auto"/>
            </w:pPr>
            <w:r>
              <w:rPr>
                <w:b w:val="0"/>
                <w:color w:val="000000"/>
                <w:sz w:val="18"/>
              </w:rPr>
              <w:t>Author, version, receipt, required reviews, approval decision and effective date</w:t>
            </w:r>
          </w:p>
        </w:tc>
      </w:tr>
      <w:tr>
        <w:trPr>
          <w:cantSplit/>
        </w:trPr>
        <w:tc>
          <w:tcPr>
            <w:tcW w:type="dxa" w:w="2921"/>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AF&amp;I uplift</w:t>
            </w:r>
          </w:p>
        </w:tc>
        <w:tc>
          <w:tcPr>
            <w:tcW w:type="dxa" w:w="7303"/>
            <w:vAlign w:val="center"/>
            <w:tcBorders>
              <w:top w:val="single" w:sz="4" w:color="D9D9D9"/>
              <w:left w:val="single" w:sz="4" w:color="D9D9D9"/>
              <w:bottom w:val="single" w:sz="4" w:color="D9D9D9"/>
              <w:right w:val="single" w:sz="4" w:color="D9D9D9"/>
            </w:tcBorders>
            <w:shd w:fill="FFFFFF"/>
            <w:tcMar>
              <w:top w:w="70" w:type="dxa"/>
              <w:bottom w:w="70" w:type="dxa"/>
              <w:left w:w="70" w:type="dxa"/>
              <w:right w:w="70" w:type="dxa"/>
            </w:tcMar>
          </w:tcPr>
          <w:p>
            <w:pPr>
              <w:spacing w:after="20" w:line="247" w:lineRule="auto"/>
            </w:pPr>
            <w:r>
              <w:rPr>
                <w:b w:val="0"/>
                <w:color w:val="000000"/>
                <w:sz w:val="18"/>
              </w:rPr>
              <w:t>Separate 20% target with recalculated costs, cash, capacity and strategy implications</w:t>
            </w:r>
          </w:p>
        </w:tc>
      </w:tr>
    </w:tbl>
    <w:p>
      <w:pPr>
        <w:spacing w:before="100"/>
      </w:pPr>
      <w:r>
        <w:t>Approval of this plan would select a working enterprise hypothesis and presentation standard, not authorize every forecasted expenditure, certify legal compliance or release a product. Material assumptions should be accepted, revised or rejected explicitly.</w:t>
      </w:r>
    </w:p>
    <w:p>
      <w:pPr>
        <w:pStyle w:val="Heading1"/>
        <w:pageBreakBefore/>
      </w:pPr>
      <w:r>
        <w:t>Sources and evidence notes</w:t>
      </w:r>
    </w:p>
    <w:p>
      <w:r>
        <w:t>Public sources establish reference structure or competitor context, not Foresixa demand, price acceptance or forecast reliability. The product inventory, scope and historical status draw on the preserved enterprise comparison and targeted source-chat reconciliation. Current release authority must be linked to the exact product version.</w:t>
      </w:r>
    </w:p>
    <w:p>
      <w:r>
        <w:t>S0  The Globe Hotel Business Plan, 1 May 2025. Selected owner format; introduction, governance, business income, costs, staffing, financial forecasts and risk appendices.</w:t>
      </w:r>
    </w:p>
    <w:p>
      <w:pPr>
        <w:spacing w:after="180"/>
      </w:pPr>
      <w:r>
        <w:rPr>
          <w:sz w:val="16"/>
        </w:rPr>
        <w:t>https://theglobetorrington.co.uk/wp-content/uploads/2025/05/Globe-Business-Plan.pdf</w:t>
      </w:r>
    </w:p>
    <w:p>
      <w:r>
        <w:t>S1  Fortune Disney company profile. Fortune 500 reference, 2026 rank 44.</w:t>
      </w:r>
    </w:p>
    <w:p>
      <w:pPr>
        <w:spacing w:after="180"/>
      </w:pPr>
      <w:r>
        <w:rPr>
          <w:sz w:val="16"/>
        </w:rPr>
        <w:t>https://fortune.com/company/disney/</w:t>
      </w:r>
    </w:p>
    <w:p>
      <w:r>
        <w:t>S2  The Walt Disney Company 2025 Annual Report. Segment discussion pp 35–37; income statement p 71, balance sheet p 73, cash flow p 74, notes p 76 onward. Annual report, not an internal business plan.</w:t>
      </w:r>
    </w:p>
    <w:p>
      <w:pPr>
        <w:spacing w:after="180"/>
      </w:pPr>
      <w:r>
        <w:rPr>
          <w:sz w:val="16"/>
        </w:rPr>
        <w:t>https://investors.thewaltdisneycompany.com/files/doc_financials/2025/ar/2025-Annual-Report.pdf</w:t>
      </w:r>
    </w:p>
    <w:p>
      <w:r>
        <w:t>S3  Coursera business platform and 2025 Form 10-K. Skills platform and enterprise learning comparison.</w:t>
      </w:r>
    </w:p>
    <w:p>
      <w:pPr>
        <w:spacing w:after="180"/>
      </w:pPr>
      <w:r>
        <w:rPr>
          <w:sz w:val="16"/>
        </w:rPr>
        <w:t>https://www.coursera.org/business | https://www.sec.gov/Archives/edgar/data/1651562/000165156226000015/cour-20251231.htm</w:t>
      </w:r>
    </w:p>
    <w:p>
      <w:r>
        <w:t>S4  Intuit Education and Intuit Academy. Free educational resources and tax/bookkeeping learning alternatives.</w:t>
      </w:r>
    </w:p>
    <w:p>
      <w:pPr>
        <w:spacing w:after="180"/>
      </w:pPr>
      <w:r>
        <w:rPr>
          <w:sz w:val="16"/>
        </w:rPr>
        <w:t>https://www.intuit.com/solutions/education/ | https://academy.intuit.com/</w:t>
      </w:r>
    </w:p>
    <w:p>
      <w:r>
        <w:t>S5  Duolingo chess course. Interactive learning competitor context.</w:t>
      </w:r>
    </w:p>
    <w:p>
      <w:pPr>
        <w:spacing w:after="180"/>
      </w:pPr>
      <w:r>
        <w:rPr>
          <w:sz w:val="16"/>
        </w:rPr>
        <w:t>https://blog.duolingo.com/chess-course/</w:t>
      </w:r>
    </w:p>
    <w:p>
      <w:r>
        <w:t>S6  Taskrabbit cleaning services. Local service marketplace comparison.</w:t>
      </w:r>
    </w:p>
    <w:p>
      <w:pPr>
        <w:spacing w:after="180"/>
      </w:pPr>
      <w:r>
        <w:rPr>
          <w:sz w:val="16"/>
        </w:rPr>
        <w:t>https://www.taskrabbit.com/services/cleaning</w:t>
      </w:r>
    </w:p>
    <w:p>
      <w:r>
        <w:t>S7  Adobe photography tools. Self-service creative-work alternative.</w:t>
      </w:r>
    </w:p>
    <w:p>
      <w:pPr>
        <w:spacing w:after="180"/>
      </w:pPr>
      <w:r>
        <w:rPr>
          <w:sz w:val="16"/>
        </w:rPr>
        <w:t>https://www.adobe.com/creativecloud/photography.html?locale=en</w:t>
      </w:r>
    </w:p>
    <w:p>
      <w:r>
        <w:t>S8  Printful pricing. On-demand fulfillment context; not evidence of zero working capital.</w:t>
      </w:r>
    </w:p>
    <w:p>
      <w:pPr>
        <w:spacing w:after="180"/>
      </w:pPr>
      <w:r>
        <w:rPr>
          <w:sz w:val="16"/>
        </w:rPr>
        <w:t>https://www.printful.com/pricing</w:t>
      </w:r>
    </w:p>
    <w:p>
      <w:r>
        <w:t>S9  Artsy About. Art marketplace context.</w:t>
      </w:r>
    </w:p>
    <w:p>
      <w:pPr>
        <w:spacing w:after="180"/>
      </w:pPr>
      <w:r>
        <w:rPr>
          <w:sz w:val="16"/>
        </w:rPr>
        <w:t>https://www.artsy.net/about</w:t>
      </w:r>
    </w:p>
    <w:p>
      <w:pPr>
        <w:pStyle w:val="Heading1"/>
        <w:pageBreakBefore/>
      </w:pPr>
      <w:r>
        <w:t>Model and evidence provenance</w:t>
      </w:r>
    </w:p>
    <w:p>
      <w:r>
        <w:t>The financial source is the preserved Foresixa Dot Comparison Budget and its 128-driver input register. The separately versioned Financial Companion v1 extends presentation to an integrated balance sheet and cash flow without silently replacing the baseline. Sources distinguish approved historical anchors, provisional prices, externally published cost benchmarks and Dot judgments.</w:t>
      </w:r>
    </w:p>
    <w:p>
      <w:r>
        <w:t>The coverage appendix reconciles Functional Analysis, both candy editions, named ETV and VraiSkill Red Alert templates, LavaLearning rapid-demand programs, Turbo Tax screening and embedded game opportunities. The accompanying evidence register preserves source conversations, catalog mappings and ambiguous aliases. Historical identities and build descriptions do not establish current release or demand.</w:t>
      </w:r>
    </w:p>
    <w:p>
      <w:r>
        <w:t>The owner coordination package contains 37 planning scopes, 26 shared functions, 18 requirements, 666 pending scope-review cells and 17 prepared messages. These are preparation results only. Delivery, owner acceptance, IA completeness review, execution and objective performance must each acquire separate evidence.</w:t>
      </w:r>
    </w:p>
    <w:p>
      <w:r>
        <w:t>No owner budget, audited opening ledger or complete remaining-development-cost schedule has been substituted into this comparison. Those exclusions materially limit the forecast and funding conclusions. The owner-comparison workflow should reconcile them before management treats a target as an executable budget.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FORESIXA  |  DOT COMPARISON PLAN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240"/>
      <w:outlineLvl w:val="1"/>
    </w:pPr>
    <w:rPr>
      <w:rFonts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cstheme="majorBidi" w:ascii="Arial" w:hAnsi="Arial"/>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Foresixa Enterprise Consolidated Business Plan</dc:title>
  <dc:subject>Consolidated enterprise strategy and conditional financial comparison</dc:subject>
  <dc:creator>Dot</dc:creator>
  <cp:keywords/>
  <dc:description>generated by python-docx</dc:description>
  <cp:lastModifiedBy/>
  <cp:revision>1</cp:revision>
  <dcterms:created xsi:type="dcterms:W3CDTF">2013-12-23T23:15:00Z</dcterms:created>
  <dcterms:modified xsi:type="dcterms:W3CDTF">2013-12-23T23:15:00Z</dcterms:modified>
  <cp:category/>
</cp:coreProperties>
</file>